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9C_349/2016 vom 1. Juni 2016</w:t>
      </w:r>
    </w:p>
    <w:p>
      <w:r>
        <w:t>Bundesgericht, 2016-06-01, DE</w:t>
      </w:r>
    </w:p>
    <w:p>
      <w:r>
        <w:rPr>
          <w:b/>
        </w:rPr>
        <w:t xml:space="preserve">Quelle: </w:t>
      </w:r>
      <w:r>
        <w:t>https://mcp.opencaselaw.ch/entscheid/bger_9C_349_2016</w:t>
      </w:r>
    </w:p>
    <w:p>
      <w:r>
        <w:t>FR: TF 9C_349/2016 du 1 juin 2016</w:t>
      </w:r>
    </w:p>
    <w:p>
      <w:r>
        <w:t>IT: TF 9C_349/2016 del 1 giugno 2016</w:t>
      </w:r>
    </w:p>
    <w:p>
      <w:pPr>
        <w:pStyle w:val="Heading2"/>
      </w:pPr>
      <w:r>
        <w:t>Volltext</w:t>
      </w:r>
    </w:p>
    <w:p>
      <w:r>
        <w:t>Bundesgericht</w:t>
      </w:r>
    </w:p>
    <w:p>
      <w:r>
        <w:t>Tribunal fédéral</w:t>
      </w:r>
    </w:p>
    <w:p>
      <w:r>
        <w:t>Tribunale federale</w:t>
      </w:r>
    </w:p>
    <w:p>
      <w:r>
        <w:t>Tribunal federal</w:t>
      </w:r>
    </w:p>
    <w:p>
      <w:r>
        <w:t>{T 0/2}</w:t>
      </w:r>
    </w:p>
    <w:p>
      <w:r>
        <w:t>9C_349/2016</w:t>
      </w:r>
    </w:p>
    <w:p>
      <w:r>
        <w:t>Urteil vom 1. Juni 2016</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KPT Krankenkasse AG,</w:t>
      </w:r>
    </w:p>
    <w:p>
      <w:r>
        <w:t>Beschwerdegegnerin.</w:t>
      </w:r>
    </w:p>
    <w:p>
      <w:r>
        <w:t>Gegenstand</w:t>
      </w:r>
    </w:p>
    <w:p>
      <w:r>
        <w:t>Krankenversicherung,</w:t>
      </w:r>
    </w:p>
    <w:p>
      <w:r>
        <w:t>Beschwerde gegen den Entscheid des Verwaltungsgerichts des Kantons Bern, Sozialversicherungsrechtliche Abteilung, vom 14. April 2016.</w:t>
      </w:r>
    </w:p>
    <w:p>
      <w:r>
        <w:t>Nach Einsicht</w:t>
      </w:r>
    </w:p>
    <w:p>
      <w:r>
        <w:t>in die Beschwerde vom 12. Mai 2016 gegen den Entscheid des Verwaltungsgerichts des Kantons Bern, Sozialversicherungsrechtliche Abteilung, vom 14. April 2016 (betreffend Mahnspesen, Verzugszinsen sowie Intervall der Betreibungen bei ausstehenden Krankenversicherungsprämien),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 soweit überhaupt sachbezogen - diesen gesetzlichen Mindestanforderungen an eine hinreichende Beschwerdebegründung offensichtlich nicht genügt, da ihr keine inhaltliche Auseinandersetzung mit der entscheidwesentlichen Erwägungen der Vorinstanz zu entnehmen ist (namentlich äussert sich der Versicherte mit keinem Wort zur vorinstanzlich dargelegten Rechtsprechung, wonach es nicht in seinem Ermessen liegt, ob verschiedene gegen ihn gerichtete vollstreckbare Forderungen vom Krankenversicherer in einem einzigen oder mehreren separaten Betreibungsbegehren in Betreibung gesetzt werden [SVR 2006 KV Nr. 1 S. 1, K 144/03 E. 4.3]),</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Gesundheit schriftlich mitgeteilt.</w:t>
      </w:r>
    </w:p>
    <w:p>
      <w:r>
        <w:t>Luzern, 1. Juni 2016</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