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349/2013 vom 24. Oktober 2013</w:t>
      </w:r>
    </w:p>
    <w:p>
      <w:r>
        <w:t>Bundesgericht, 2013-10-24, DE</w:t>
      </w:r>
    </w:p>
    <w:p>
      <w:r>
        <w:rPr>
          <w:b/>
        </w:rPr>
        <w:t xml:space="preserve">Quelle: </w:t>
      </w:r>
      <w:r>
        <w:t>https://mcp.opencaselaw.ch/entscheid/bger_9C_349_2013</w:t>
      </w:r>
    </w:p>
    <w:p>
      <w:r>
        <w:t>FR: TF 9C 349/2013 du 24 octobre 2013</w:t>
      </w:r>
    </w:p>
    <w:p>
      <w:r>
        <w:t>IT: TF 9C 349/2013 del 24 ottobre 2013</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neurochirurgischen Gutachten der Frau Dr. med. I.________ vom 29. November 2010 Beweiskraft beigemessen. Einen Revisionsgrund (E. 3.1) hat sie darin erblickt, dass seit der im November 2006 erfolgten Rentenzusprache eine Stabilisierung des Gesundheitszustandes und eine darauf gründende Verbesserung der Arbeitsfähigkeit eingetreten sei. Weiter hat sie für angepasste Tätigkeiten eine Arbeitsfähigkeit von 70 % bei einer um 15 % verminderten Leistungsfähigkeit festgestellt. In der Folge hat sie die Invaliditätsbemessung auf der Grundlage eines Erwerbsstatus von 80 % vorgenommen (vgl. Art. 28a Abs. 3 IVG ). Beim resultierenden Gesamtinvaliditätsgrad von (gerundet) höchstens 37 % hat sie die Rentenaufhebung bestätigt (vgl. Art. 28 Abs. 2 IVG ). Die Beschwerdeführerin bestreitet das Vorliegen eines Revisionsgrundes.</w:t>
      </w:r>
    </w:p>
    <w:p>
      <w:r>
        <w:rPr>
          <w:b/>
        </w:rPr>
        <w:t>E. 3.1</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9C_292/2012 vom 7. August 2012 E. 2.3; I 232/05 vom 28. September 2006 E. 3.3; ULRICH MEYER, Bundesgesetz über die Invalidenversicherung [IVG], 2. Aufl. 2010, S. 374). Hingegen ist die lediglich unterschiedliche Beurteilung eines im Wesentlichen gleich gebliebenen Sachverhalts im revisionsrechtlichen Kontext unbeachtlich (SVR 2011 IV Nr. 1 S. 1, 8C_972/2009 E. 3.2; Urteil 8C_133/2013 vom 29. Mai 2013 E. 4.1). Zeitliche Vergleichsbasis für die Beurteilung einer anspruchserheblichen Änderung des Invaliditätsgrades bildet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w:t>
      </w:r>
    </w:p>
    <w:p>
      <w:r>
        <w:rPr>
          <w:b/>
        </w:rPr>
        <w:t>E. 3.2</w:t>
      </w:r>
    </w:p>
    <w:p>
      <w:r>
        <w:t>Für die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3.4.1</w:t>
      </w:r>
    </w:p>
    <w:p>
      <w:r>
        <w:t>Mit Blick auf einen Revisionsgrund (E. 3.1) hat die Vorinstanz festgestellt, die Verfügung vom 23. November 2006 habe massgeblich auf der von der Verwaltung eingeholten interdisziplinären Expertise der medizinischen Abklärungsstelle X.________ vom 23. März 2006 beruht. Der Gesundheitszustand der Versicherten habe sich seither in Bezug auf die Diagnose und die Befunderhebung nicht oder zumindest nicht erheblich verändert. Diese Feststellungen sind nicht offensichtlich unrichtig (E. 1). Namentlich steht Letztere im Einklang mit der Einschätzung der Frau Dr. med. I.________, wonach im Vergleich zu Voruntersuchungen von 2003 und 2005 eine Verschlechterung des Gesundheitszustandes nicht objektiviert werden könne, sondern vielmehr "eine Stabilisierung, wenn nicht sogar tendenzielle Verbesserung erkennbar" sei. Dafür verwies sie ohne nähere Ausführungen auf die reduzierte analgetische Medikation und die Erweiterung der körperlichen Aktivitäten.</w:t>
      </w:r>
    </w:p>
    <w:p>
      <w:r>
        <w:rPr>
          <w:b/>
        </w:rPr>
        <w:t>E. 3.4.2</w:t>
      </w:r>
    </w:p>
    <w:p>
      <w:r>
        <w:t>Soweit das kantonale Gericht festgestellt hat, Frau Dr. med. I.________ habe "aufgrund" dieser Stabilisierung "neu" eine höhere Arbeitsfähigkeit als die Gutachter der medizinischen Abklärungsstelle X.________ attestiert, kann ihm nicht gefolgt werden: Einerseits wurde im neurochirurgischen Gutachten nicht (nachvollziehbar) dargelegt, weshalb die Stabilisierung des Gesundheitszustandes resp. dessen allfällige "tendenzielle" Verbesserung allein eine Steigerung der Arbeitsfähigkeit in erheblichem Umfang bewirkt haben soll. Solches lässt sich namentlich nicht mit dem verminderten Schmerzmittelkonsum begründen, zumal bereits im Gutachten der medizinischen Abklärungsstelle X.________ eine unbefriedigende Wirksamkeit der Medikation festgehalten wurde. Anderseits setzte sich Frau Dr. med. I.________ mit dem Gutachten der medizinischen Abklärungsstelle X.________ nur marginal auseinander, wobei sie immerhin die darin enthaltene Arbeitsfähigkeitsschätzung explizit für "nicht nachvollziehbar" und mit "Unklarheiten" behaftet hielt. Die Frage nach der Entwicklung der Arbeitsfähigkeit seit 2003 beantwortete die Expertin mit der Bemerkung, sie habe sich "seither keinesfalls verschlechtert". Dass sich die Arbeitsfähigkeit der Versicherten wesentlich verbessert haben soll, lässt sich demnach dem Gutachten der Frau Dr. med. I.________ nicht entnehmen, im Gegenteil ist diesbezüglich klar von der lediglich unterschiedlichen Beurteilung eines im Wesentlichen gleich gebliebenen Sachverhalts auszugehen.</w:t>
      </w:r>
    </w:p>
    <w:p>
      <w:r>
        <w:rPr>
          <w:b/>
        </w:rPr>
        <w:t>E. 3.4.3</w:t>
      </w:r>
    </w:p>
    <w:p>
      <w:r>
        <w:t>Weiter hat die Vorinstanz festgestellt, die Versicherte habe nach eigenen Angaben ihre Gehtoleranz von 15 auf 30 Minuten steigern können. Zudem sei sie früher alle drei bis vier Wochen zur Mobilisation auf einen Amerikaner-Stock angewiesen gewesen; diesen brauche sie heute nicht mehr. Schliesslich habe sie ihre Leistungen im Haushalt steigern können. Diese verbindlichen (E. 1) Feststellungen lassen zwar auf einen allenfalls leicht verbesserten Gesundheitszustand, nicht aber auf eine wesentlich gesteigerte Arbeitsfähigkeit schliessen. Eine solche ergibt sich auch nicht aus den weiteren medizinischen Unterlagen. Damit fehlt es an einem Revisionsgrund im Sinn von Art. 17 Abs. 1 ATSG .</w:t>
      </w:r>
    </w:p>
    <w:p>
      <w:r>
        <w:rPr>
          <w:b/>
        </w:rPr>
        <w:t>E. 3.5</w:t>
      </w:r>
    </w:p>
    <w:p>
      <w:r>
        <w:t>Sodann lässt sich die Rentenaufhebung nicht mit der substituierten Begründung, die ursprüngliche Rentenzusprache sei zweifellos unrichtig gewesen ( Art. 53 Abs. 2 ATSG ), schützen (vgl. Urteile 8C_647/2011 vom 4. Januar 2012 E. 2.3; 9C_203/2010 vom 21. September 2010 E. 3.1.3, je mit Hinweisen) : Anhaltspunkte für eine Wiedererwägung in diesem Sinn werden nicht geltend gemacht und sind auch nicht ersichtlich, zumal die Verfügung vom 23. November 2006 u.a. auf dem von der Verwaltung eingeholten interdisziplinären Gutachten der medizinischen Abklärungsstelle X.________ beruhte (E. 3.4.1). Demnach hat die Versicherte weiterhin Anspruch auf die bisherige Dreiviertelsrente; die Beschwerde ist begründet.</w:t>
      </w:r>
    </w:p>
    <w:p>
      <w:r>
        <w:rPr>
          <w:b/>
        </w:rPr>
        <w:t>E. 4</w:t>
      </w:r>
    </w:p>
    <w:p>
      <w:r>
        <w:t>Dem Ausgang des Verfahrens entsprechend hat die Beschwerdegegnerin die Gerichtskosten zu tragen ( Art. 66 Abs. 1 BGG ). Die obsiegende Beschwerdeführerin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