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9C_349/2010 vom 30. April 2010</w:t>
      </w:r>
    </w:p>
    <w:p>
      <w:r>
        <w:t>Bundesgericht, 2010-04-30, DE</w:t>
      </w:r>
    </w:p>
    <w:p>
      <w:r>
        <w:rPr>
          <w:b/>
        </w:rPr>
        <w:t xml:space="preserve">Quelle: </w:t>
      </w:r>
      <w:r>
        <w:t>https://mcp.opencaselaw.ch/entscheid/bger_9C_349_2010</w:t>
      </w:r>
    </w:p>
    <w:p>
      <w:r>
        <w:t>FR: TF 9C_349/2010 du 30 avril 2010</w:t>
      </w:r>
    </w:p>
    <w:p>
      <w:r>
        <w:t>IT: TF 9C_349/2010 del 30 aprile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9C_349/2010</w:t>
      </w:r>
    </w:p>
    <w:p>
      <w:r>
        <w:t>Urteil vom 30. April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Helfenstein Franke.</w:t>
      </w:r>
    </w:p>
    <w:p>
      <w:r>
        <w:t>Verfahrensbeteiligte</w:t>
      </w:r>
    </w:p>
    <w:p>
      <w:r>
        <w:t>S.________,</w:t>
      </w:r>
    </w:p>
    <w:p>
      <w:r>
        <w:t>Beschwerdeführerin,</w:t>
      </w:r>
    </w:p>
    <w:p>
      <w:r>
        <w:t>gegen</w:t>
      </w:r>
    </w:p>
    <w:p>
      <w:r>
        <w:t>Stadt Kloten,</w:t>
      </w:r>
    </w:p>
    <w:p>
      <w:r>
        <w:t>Kirchgasse 7, 8302 Kloten,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Zürich vom 26. Februar 2010.</w:t>
      </w:r>
    </w:p>
    <w:p>
      <w:r>
        <w:t>Nach Einsicht</w:t>
      </w:r>
    </w:p>
    <w:p>
      <w:r>
        <w:t>in die Beschwerde vom 23. April 2010 (Poststempel) gegen den Entscheid des Sozialversicherungsgerichts des Kantons Zürich vom 26. Februar 2010 (betreffend Berechnung der Zusatzleistungen zur Invalidenrente),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den Vorbringen der Beschwerdeführerin nicht entnommen werden kann, inwiefern die vorinstanzliche Sachverhaltsfeststellung bezüglich der Mietzinsanrechnung für die Zweitwohnung im Sinne von Art. 97 Abs. 1 BGG unzutreffend und die darauf beruhenden Erwägungen rechtsfehlerhaft sein sollen,</w:t>
      </w:r>
    </w:p>
    <w:p>
      <w:r>
        <w:t>dass der Beschwerdebegründung auch sonst keine inhaltliche Auseinandersetzung mit den entscheidwesentlichen Erwägungen der Vorinstanz zu entnehmen ist, zumal diese in weiten Teilen nicht sachbezogen ist,</w:t>
      </w:r>
    </w:p>
    <w:p>
      <w:r>
        <w:t>dass die Beschwerde den genannten gesetzlichen Mindestanforderungen damit nicht genügt,</w:t>
      </w:r>
    </w:p>
    <w:p>
      <w:r>
        <w:t>dass die Beschwerde zudem Anträge enthält, welche gar nicht Streitgegenstand des vorinstanzlichen Entscheides bilden,</w:t>
      </w:r>
    </w:p>
    <w:p>
      <w:r>
        <w:t>dass deshalb im vereinfachten Verfahren nach Art. 108 Abs. 1 lit. a und b BGG - ohne Ansetzung einer Nachfrist zur Verbesserung ( BGE 134 II 244 ) - auf die Beschwerde nicht einzutreten ist und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30. April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Helfenstein Franke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