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9C_347/2020 vom 25. März 2021</w:t>
      </w:r>
    </w:p>
    <w:p>
      <w:r>
        <w:t>Bundesgericht, 2021-03-25, FR</w:t>
      </w:r>
    </w:p>
    <w:p>
      <w:r>
        <w:rPr>
          <w:b/>
        </w:rPr>
        <w:t xml:space="preserve">Quelle: </w:t>
      </w:r>
      <w:r>
        <w:t>https://mcp.opencaselaw.ch/entscheid/bger_9C_347_2020</w:t>
      </w:r>
    </w:p>
    <w:p>
      <w:r>
        <w:t>FR: TF 9C_347/2020 du 25 mars 2021</w:t>
      </w:r>
    </w:p>
    <w:p>
      <w:r>
        <w:t>IT: TF 9C_347/2020 del 25 marzo 2021</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certificat médical du docteur B.________ du 15 juillet 2020, déposé à titre de réponse au recours, a été rédigé et produit après le prononcé du jugement attaqué le 27 avril 2020. Il s'agit dès lors d'un moyen de preuve nouveau ("vrai novum") qui n'est pas recevable devant le Tribunal fédéral (cf. ATF 143 V 19 consid. 1.2 p. 22). Il n'y a donc pas lieu de le prendre en compte dans la présente procédure.</w:t>
      </w:r>
    </w:p>
    <w:p>
      <w:r>
        <w:rPr>
          <w:b/>
        </w:rPr>
        <w:t>E. 3</w:t>
      </w:r>
    </w:p>
    <w:p>
      <w:r>
        <w:t>Le litige porte sur le droit de l'assurée à une rente d'invalidité dans le cadre d'une nouvelle demande de prestations (cf. art. 17 al. 1 LPGA , applicable par analogie, en lien avec l' art. 87 al. 2 et 3 RAI ; voir aussi ATF 134 V 131 consid. 3 p. 132 s.; 133 V 108 consid. 5 p. 110 ss; 130 V 343 consid. 3.5 p. 349 ss; 130 V 71 ), plus particulièrement sur l'appréciation de sa capacité de travail et l'évaluation de l'invalidité qui en découle.</w:t>
      </w:r>
    </w:p>
    <w:p>
      <w:r>
        <w:rPr>
          <w:b/>
        </w:rPr>
        <w:t>E. 4</w:t>
      </w:r>
    </w:p>
    <w:p>
      <w:r>
        <w:t>L'acte attaqué expose les normes et la jurisprudence indispensables à la résolution du litige, en particulier celles concernant l'appréciation du caractère invalidant des troubles psychiques ( ATF 141 V 281 ; 143 V 409 ; 418), le rôle des médecins ( ATF 125 V 256 consid. 4 p. 261 s.; voir aussi ATF 140 V 193 consid. 3.2 p. 195 s.), le principe de la libre appréciation des preuves ( art. 61 let . c LPGA) ainsi que la valeur probante des rapports médicaux ( ATF 134 V 231 consid. 5.1 p. 232 s.; 125 V 351 consid. 3 p. 352 ss; voir aussi ATF 143 V 124 consid. 2.2.2 p. 126 s.). Il suffit d'y renvoyer.</w:t>
      </w:r>
    </w:p>
    <w:p>
      <w:r>
        <w:rPr>
          <w:b/>
        </w:rPr>
        <w:t>E. 5</w:t>
      </w:r>
    </w:p>
    <w:p>
      <w:r>
        <w:t>Le tribunal cantonal a constaté que la décision administrative litigieuse reposait sur le rapport du docteur D.________ du 3 décembre 2018, qui s'était lui-même fondé sur le rapport du docteur B.________ du 16 mai précédent. Il a relevé que le psychiatre traitant avait répondu à dix-huit questions de l'office AI et avait régulièrement communiqué à l'assureur perte de gain en cas de maladie ses observations quant à l'absence d'évolution de la situation de l'assurée. Il a considéré que ces informations étaient suffisantes pour permettre au SMR ainsi qu'à l'administration d'apprécier le cas à l'aune des indicateurs développés dans l' ATF 141 V 281 sans qu'il ne soit nécessaire de procéder à une expertise. Il a encore constaté que le dossier ne contenait aucun avis contraire à celui du docteur B.________, dont les observations étaient en outre confirmées par celles d'un inspecteur de l'assureur perte de gain en cas de maladie. Il a ajouté que la procédure de révision fixée deux ans après le prononcé de la décision du 26 juillet 2019 devrait permettre à l'office AI de déterminer si l'affection retenue n'était qu'une réaction à une situation de harcèlement professionnel comme le prétendait la FCT.</w:t>
      </w:r>
    </w:p>
    <w:p>
      <w:r>
        <w:rPr>
          <w:b/>
        </w:rPr>
        <w:t>E. 6.1</w:t>
      </w:r>
    </w:p>
    <w:p>
      <w:r>
        <w:t>Pour l'essentiel, l'institution de prévoyance recourante reproche à la juridiction cantonale d'avoir arbitrairement apprécié les preuves et d'avoir violé son devoir d'instruction. Elle soutient en substance que les documents médicaux disponibles (particulièrement l'avis du psychiatre traitant du 16 mai 2018) sont lacunaires dans la mesure notamment où ils ne fournissent aucune indication sur le suivi thérapeutique ou le traitement médicamenteux instaurés. Elle fait valoir à ce sujet que le docteur B.________ mentionnait originellement l'existence d'un syndrome d'apnées du sommeil, en plus d'un épisode dépressif sévère, et relève qu'il n'est pas possible d'établir sur la base du dossier constitué à laquelle de ces deux pathologies des symptômes tels qu'une fatigue importante doivent être attribués ni s'il existe un traitement susceptible d'y remédier. Elle prétend également que la dépression dont souffre l'assurée, réactionnelle à l'ambiance de travail et à son licenciement, n'est pas durable et, partant, n'est pas forcément invalidante. Elle souligne encore que, dans son rapport du 3 décembre 2018, le docteur D.________ se contente de reprendre les diagnostics, les limitations fonctionnelles et les périodes d'incapacité de travail attestés par le psychiatre traitant sans prendre position sur l'appréciation de celui-ci. Elle considère que, dans ces circonstances, l'avis du SMR est sujet à caution, que les documents disponibles ne permettent pas de mettre en oeuvre la procédure probatoire structurée prévue par l' ATF 141 V 281 et qu'une expertise aurait dû être ordonnée.</w:t>
      </w:r>
    </w:p>
    <w:p>
      <w:r>
        <w:rPr>
          <w:b/>
        </w:rPr>
        <w:t>E. 6.2</w:t>
      </w:r>
    </w:p>
    <w:p>
      <w:r>
        <w:t>Dans le domaine du droit de l'assurance-invalidité, le point de départ pour évaluer les troubles psychiques (cf. ATF 141 V 281 ; 143 V 409 ; 143 V 418 ; 145 V 215 ) est l'ensemble des constatations médicales effectuées par les médecins psychiatres ( ATF 141 V 281 consid. 2.1 p. 285). Ces médecins - qu'ils exercent leur activité en qualité d'experts ou non - doivent motiver leurs diagnostics et décrire l'incidence de ceux-ci sur la capacité de travail de l'intéressé de telle manière que les organes chargés de l'application du droit (soit l'administration ou le juge en cas de litige) soient en mesure d'apprécier définitivement cette capacité ( ATF 140 V 193 consid. 3.2 p. 195 s.) à l'aune des indicateurs développés dans l' ATF 141 V 281 ( ATF 145 V 361 consid. 4.3 p. 367).</w:t>
      </w:r>
    </w:p>
    <w:p>
      <w:r>
        <w:t>Si le diagnostic d'épisode dépressif sévère posé en l'occurrence par le docteur B.________ selon un système de classification médicale reconnu peut certes, en soi, suggérer un certain degré de gravité susceptible d'occasionner des limitations dans les fonctions de la vie courante (cf. ATF 141 V 281 consid. 2.1.2 p. 286 s.), d'autres éléments semblent toutefois infirmer cette conclusion. Ainsi, comme le soutient l'institution de prévoyance recourante, la dépression dont souffre l'assurée au moment de la rédaction de son rapport par le psychiatre traitant est liée à l'annonce de son licenciement dans un contexte de harcèlement professionnel de la part de ses collègues et d'un manque de soutien de la part de ses supérieurs ainsi que des ressources humaines de son entreprise. De surcroît, le docteur B.________ a retenu un épisode dépressif et non un trouble dépressif récurrent. Dans de telles circonstances, le rapport du psychiatre traitant ne suffit pas pour démontrer d'emblée que la gravité du diagnostic retenu ne serait pas liée seulement au contexte professionnel, auquel cas elle pourrait peut-être s'amender à court ou moyen terme, mais altère durablement les fonctions de la vie courante. Les organes chargés de l'application du droit ne pouvaient ainsi se dispenser d'analyser les ressources dont disposait l'assurée au moyen de la grille d'évaluation normative et structurée développée par la jurisprudence.</w:t>
      </w:r>
    </w:p>
    <w:p>
      <w:r>
        <w:t>Les premiers juges ont considéré d'une manière générale que les informations fournies par le docteur B.________ permettaient à l'office AI d'effectuer une appréciation prenant en compte les indicateurs jurisprudentiels. Ils n'ont toutefois eux-mêmes procédé à aucune constatation précise à cet égard ni à aucun examen particulier. Ils se sont contentés de dresser la liste des indicateurs pertinents d'une part et de faire état des observations du psychiatre traitant d'autre part sans même tenter d'en faire le rapprochement. Un tel rapprochement ne ressort pas davantage de la décision administrative litigieuse ou de l'avis du docteur D.________ sur lequel repose cette décision. On relèvera en outre que les indications succinctes communiquées par le docteur B.________ dans son rapport du 16 mai 2018 ne permettent pas d'effectuer l'examen en question. Ces indications apparaissent émaner pour l'essentiel des déclarations de l'assurée sans qu'on ne discerne une évaluation objective et motivée des limitations fonctionnelles effectives qui justifieraient une incapacité totale de travail.</w:t>
      </w:r>
    </w:p>
    <w:p>
      <w:r>
        <w:t>Compte tenu de ce qui précède, il convient d'annuler le jugement entrepris ainsi que la décision administrative litigieuse et de renvoyer la cause à l'administration pour complément d'instruction et nouvelle décision.</w:t>
      </w:r>
    </w:p>
    <w:p>
      <w:r>
        <w:rPr>
          <w:b/>
        </w:rPr>
        <w:t>E. 7</w:t>
      </w:r>
    </w:p>
    <w:p>
      <w:r>
        <w:t>Vu l'issue du litige, les frais judiciaires sont mis à la charge de l'office AI ( art. 66 al. 1 LTF ). L'institution de prévoyance recourante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