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345/2016 vom 30. Mai 2016</w:t>
      </w:r>
    </w:p>
    <w:p>
      <w:r>
        <w:t>Bundesgericht, 2016-05-30, FR</w:t>
      </w:r>
    </w:p>
    <w:p>
      <w:r>
        <w:rPr>
          <w:b/>
        </w:rPr>
        <w:t xml:space="preserve">Quelle: </w:t>
      </w:r>
      <w:r>
        <w:t>https://mcp.opencaselaw.ch/entscheid/bger_9C_345_2016</w:t>
      </w:r>
    </w:p>
    <w:p>
      <w:r>
        <w:t>FR: TF 9C 345/2016 du 30 mai 2016</w:t>
      </w:r>
    </w:p>
    <w:p>
      <w:r>
        <w:t>IT: TF 9C 345/2016 del 30 maggio 2016</w:t>
      </w:r>
    </w:p>
    <w:p>
      <w:pPr>
        <w:pStyle w:val="Heading2"/>
      </w:pPr>
      <w:r>
        <w:t>Regeste</w:t>
      </w:r>
    </w:p>
    <w:p>
      <w:r>
        <w:t>Assurance-maladie | Assurance-maladie</w:t>
      </w:r>
    </w:p>
    <w:p>
      <w:pPr>
        <w:pStyle w:val="Heading2"/>
      </w:pPr>
      <w:r>
        <w:t>Erwägungen</w:t>
      </w:r>
    </w:p>
    <w:p>
      <w:r>
        <w:rPr>
          <w:b/>
        </w:rPr>
        <w:t>E. 7</w:t>
      </w:r>
    </w:p>
    <w:p>
      <w:r>
        <w:t>p. 61 consid. 2), qu'à la lecture du mémoire de recours, l'on ne peut pas en déduire en quoi les constatations du tribunal cantonal seraient inexactes au sens de l' art. 97 al. 1 LTF , que la recourante n'indique pas les motifs pour lesquels, à son avis, la juridiction cantonale aurait dû entrer en matière sur son recours ou donner suite à ses plaintes, ni en quoi l'issue du jugement cantonal (la radiation de la cause du rôle) violerait le droit, que le recours ne répondant pas aux exigences de l' art. 42 al. 1 et 2 LTF , il doit être déclaré irrecevable selon la procédure simplifiée de l' art. 108 al. 1 let. b et al. 2 LTF , qu'en application de l'art. 66 al. 1, 2ème phrase, LTF, il convient de renoncer à la perception des frais judiciaires,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