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345/2008 vom 25. Juli 2008</w:t>
      </w:r>
    </w:p>
    <w:p>
      <w:r>
        <w:t>Bundesgericht, 2008-07-25, DE</w:t>
      </w:r>
    </w:p>
    <w:p>
      <w:r>
        <w:rPr>
          <w:b/>
        </w:rPr>
        <w:t xml:space="preserve">Quelle: </w:t>
      </w:r>
      <w:r>
        <w:t>https://mcp.opencaselaw.ch/entscheid/bger_9C_345_2008</w:t>
      </w:r>
    </w:p>
    <w:p>
      <w:r>
        <w:t>FR: TF 9C 345/2008 du 25 juillet 2008</w:t>
      </w:r>
    </w:p>
    <w:p>
      <w:r>
        <w:t>IT: TF 9C 345/2008 del 25 luglio 2008</w:t>
      </w:r>
    </w:p>
    <w:p>
      <w:pPr>
        <w:pStyle w:val="Heading2"/>
      </w:pPr>
      <w:r>
        <w:t>Regeste</w:t>
      </w:r>
    </w:p>
    <w:p>
      <w:r>
        <w:t>Invalidenversicherung | Invalidenversicherung</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400 E.2 S. 403, 249 E. 1.1 S. 251).</w:t>
      </w:r>
    </w:p>
    <w:p>
      <w:r>
        <w:rPr>
          <w:b/>
        </w:rPr>
        <w:t>E. 2</w:t>
      </w:r>
    </w:p>
    <w:p>
      <w:r>
        <w:t>Streitig und angefochten ist der vorinstanzliche Entscheid einzig in Bezug auf die Höhe des Invaliditätsgrades.</w:t>
      </w:r>
    </w:p>
    <w:p>
      <w:r>
        <w:rPr>
          <w:b/>
        </w:rPr>
        <w:t>E. 2.1</w:t>
      </w:r>
    </w:p>
    <w:p>
      <w:r>
        <w:t>Nach Art. 89 Abs. 1 BGG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2.2</w:t>
      </w:r>
    </w:p>
    <w:p>
      <w:r>
        <w:t>Gemäss Art. 43 Abs. 1 IVG haben Witwen, Witwer und Waisen, welche sowohl die Anspruchsvoraussetzungen für eine Hinterlassenenrente der AHV als auch für eine Rente der Invalidenversicherung erfüllen, Anspruch auf eine ganze Invalidenrente; es wird nur die höhere der beiden Renten ausgerichtet. Gestützt auf diese Norm hat das Eidgenössische Versicherungsgericht im Urteil S. vom 18. März 2005 (I 791/03; publiziert in SVR 2006 IV Nr. 11 S. 41) erkannt, dass eine Witwe, deren Invaliditätsgrad von 90 % auf 50 % herabgesetzt wird, die aber dank des parallel bestehenden Anspruchs auf eine Witwenrente der AHV weiterhin eine ganze Invalidenrente beziehen kann, kein schutzwürdiges Interesse an der Bestreitung des Invaliditätsgrades hat. Zur Begründung wurde im Wesentlichen ausgeführt, der im IV-Verfahren im Zusammenhang mit einer Härtefallrente ermittelte Invaliditätsgrad habe für die berufsvorsorgerechtliche Invalidenrente keine präjudizierende Wirkung. Dasselbe gilt auch beim Zusammenfallen von Witwen- und Invalidenrente: Da die Invalidenversicherung den Invaliditätsgrad nicht präzis ermitteln muss, sondern einzig zu prüfen hat, ob er mindestens 40 % beträgt, kann sich die IV-Stelle mit einer groben Schätzung begnügen. Eine solche Schätzung kann die berufliche Vorsorge nicht binden. Demzufolge lässt sich ein allfälliges schutzwürdiges Interesse der Versicherten an einer exakten Feststellung des Invaliditätsgrades nicht mit Bezug auf andere Sozialversicherungszweige begründen. Daran ändert auch der Umstand nichts, dass die Versicherte mit Blick auf eine Wiederverheiratung den Anspruch auf eine Witwenrente verlieren könnte. Im Urteil in Sachen V. vom 9. Juni 2006 (I 808/05; SVR 2007 IV Nr. 3 S. 8) hat das Eidgenössische Versicherungsgericht ebenfalls bei einer Versicherten, die wie im vorliegenden Fall eine durch eine Invalidenrente abgelöste Witwenrente bezogen hatte, in Bestätigung der Rechtsprechung daran festgehalten, dass die Invalidenversicherung bei Ablösung einer Witwenrente durch eine Invalidenrente gerade keine präzise Bemessung des Invaliditätsgrades vornimmt, da für die ihr obliegenden Belange eine grobe Schätzung genügt. Aus diesem Grund hat das Eidgenössische Versicherungsgericht in diesen Urteilen ausdrücklich erwogen, der von der Invalidenversicherung ermittelte Invaliditätsgrad entfalte für die berufliche Vorsorge keine Bindungswirkung. Unter diesen Umständen entfällt aber auch ein schutzwürdiges Interesse an der Anfechtung des Invaliditätsgrades (dazu auch Ulrich Meyer, Über die Zulässigkeit von Feststellungsverfügungen in der Sozialversicherungspraxis, in: René Schaffhauser/Franz Schlauri [Hrsg.], Sozialversicherungstagung 2007, St. Gallen 2007, S. 57 f.).</w:t>
      </w:r>
    </w:p>
    <w:p>
      <w:r>
        <w:rPr>
          <w:b/>
        </w:rPr>
        <w:t>E. 2.3</w:t>
      </w:r>
    </w:p>
    <w:p>
      <w:r>
        <w:t>Die Beschwerdeführerin begründet ihr schutzwürdiges Interesse in der Beschwerde damit, dass die Feststellung des IV-Grades im Rahmen der 1. Säule die Pensionskasse binde und durch die freie Vorsorge (3. Säule) in der Praxis meist übernommen werde. Damit lässt sich aber nach der erwähnten Rechtsprechung (vgl. auch SVR 2006 IV Nr. 48 S. 176) ein schutzwürdiges Interesse nicht begründen. Weitere Sozialversicherer - wie hier die Pensionskasse der Beschwerdeführerin - werden den IV-Grad von Amtes wegen mit der gebotenen Sorgfalt zu ermitteln haben (erwähntes Urteil I 791/03, E. 2.4). Andere Gründe sind nicht ersichtlich, zumal einzig die Höhe des Invaliditätsgrades, nicht jedoch der Beginn der Invalidenrente bestritten ist (vgl. Urteil U. vom 4. Juni 2007 [I 272/06]). Bereits IV-Stelle und kantonales Gericht hätten daher auf die Einsprache resp. Beschwerde in Bezug auf die Höhe des Invaliditätsgrades nicht eintreten dürfen (vgl. BGE 131 V 298 E. 3 S. 300, 130 V 560 E. 3.3 S. 563; SVR 2007 IV Nr. 3 S. 8 E. 1 [I 808/05], je mit Hinweisen). Da im Einspracheverfahren und im vorinstanzlichen Verfahren weitere - mit der vorliegenden Beschwerde nicht mehr angefochtene - Rechtsfragen strittig waren und in den jeweiligen Dispositiven nicht auf die Erwägungen verwiesen wird, besteht angesichts der Unverbindlichkeit der Invaliditätsbemessung für die Vorsorgeeinrichtung kein Anlass, den Entscheid des kantonalen Gerichts und den Einspracheentscheid in diesem Punkt von Amtes wegen aufzuheben (vgl. dazu BGE 129 V 289 ; ARV 1999 Nr. 14 S. 74; Urteile I 92/07 in Sachen S. vom 21. Februar 2008 und I 299/93 in Sachen vom F. vom 25. März 1994).</w:t>
      </w:r>
    </w:p>
    <w:p>
      <w:r>
        <w:rPr>
          <w:b/>
        </w:rPr>
        <w:t>E. 3</w:t>
      </w:r>
    </w:p>
    <w:p>
      <w:r>
        <w:t>Da auf die Beschwerde nicht einzutreten ist, wird die Beschwerdeführerin nach Art. 66 Abs. 1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