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9C_342/2015 vom 21. Oktober 2015</w:t>
      </w:r>
    </w:p>
    <w:p>
      <w:r>
        <w:t>Bundesgericht, 2015-10-21, DE</w:t>
      </w:r>
    </w:p>
    <w:p>
      <w:r>
        <w:rPr>
          <w:b/>
        </w:rPr>
        <w:t xml:space="preserve">Quelle: </w:t>
      </w:r>
      <w:r>
        <w:t>https://mcp.opencaselaw.ch/entscheid/bger_9C_342_2015</w:t>
      </w:r>
    </w:p>
    <w:p>
      <w:r>
        <w:t>FR: TF 9C_342/2015 du 21 octobre 2015</w:t>
      </w:r>
    </w:p>
    <w:p>
      <w:r>
        <w:t>IT: TF 9C_342/2015 del 21 ottobre 2015</w:t>
      </w:r>
    </w:p>
    <w:p>
      <w:pPr>
        <w:pStyle w:val="Heading2"/>
      </w:pPr>
      <w:r>
        <w:t>Erwägungen</w:t>
      </w:r>
    </w:p>
    <w:p>
      <w:r>
        <w:rPr>
          <w:b/>
        </w:rPr>
        <w:t>E. 1</w:t>
      </w:r>
    </w:p>
    <w:p>
      <w:r>
        <w:t>Streitgegenstand bildet in erster Linie die Frage, ob die Beschwerdegegnerin gestützt auf Art. 26 Abs. 2 und Art. 5 des bis Ende 2004 in Kraft gestandenen Reglements 1996 der Beschwerdeführerin (sowie aArt. 23 BVG [seit 1. Januar 2005: Art. 23 lit. a BVG ]) ab 1. November 2005 Anspruch auf eine Invalidenrente auf der Grundlage eines Invaliditätsgrades von 27 % hat, wie die Vorinstanz entschieden hat.</w:t>
      </w:r>
    </w:p>
    <w:p>
      <w:r>
        <w:rPr>
          <w:b/>
        </w:rPr>
        <w:t>E. 2</w:t>
      </w:r>
    </w:p>
    <w:p>
      <w:r>
        <w:t>Art. 26 Abs. 2 Reglement 1996 bestimmt unter der Überschrift "Nachdeckung/Nachhaftung" Folgendes:</w:t>
      </w:r>
    </w:p>
    <w:p>
      <w:r>
        <w:t>"Ist eine versicherte Person im Zeitpunkt der Auflösung des Vorsorgeverhältnisses bzw. bei Ablauf der Nachdeckungsfrist nicht voll arbeitsfähig und wird in der Folge innerhalb von 360 Tagen im Sinne von Art. 5 invalid erklärt, so besteht Anspruch auf Invaliditätsleistungen nach diesem Reglement. Erhöht sich der Invaliditätsgrad aus gleicher Ursache innert weiterer 90 Tage, oder erhöht sich der Invaliditätsgrad einer bei Auflösung des Vorsorgeverhältnisses bzw. bei Ablauf der Nachdeckungsfrist invaliden Person aus gleicher Ursache innert 90 Tagen, so werden auch für die Erhöhung die Invaliditätsleistungen nach diesem Reglement erbracht.</w:t>
      </w:r>
    </w:p>
    <w:p>
      <w:r>
        <w:t>(...) "</w:t>
      </w:r>
    </w:p>
    <w:p>
      <w:r>
        <w:t>Art. 5 Reglement 1996 lautet wie folgt:</w:t>
      </w:r>
    </w:p>
    <w:p>
      <w:r>
        <w:t>" (1)</w:t>
      </w:r>
    </w:p>
    <w:p>
      <w:r>
        <w:t>Invalidität liegt vor, wenn die versicherte Person im Sinne der IV invalid ist oder durch ärztlichen Befund objektiv nachweisbar ganz oder teilweise ihren Beruf oder eine andere ihrer sozialen Stellung, ihren Kenntnissen und Fähigkeiten angemessene Erwerbstätigkeit nicht mehr ausüben kann.</w:t>
      </w:r>
    </w:p>
    <w:p>
      <w:r>
        <w:t>(2)</w:t>
      </w:r>
    </w:p>
    <w:p>
      <w:r>
        <w:t>Ist die versicherte Person teilweise invalid, so werden die für Vollinvalidität festgesetzten Leistungen in der Höhe gewährt, die dem Invaliditätsgrad entspricht.</w:t>
      </w:r>
    </w:p>
    <w:p>
      <w:r>
        <w:t>Teilweise Invalidität von weniger als einem Viertel gibt keinen Anspruch auf Leistungen (...)."</w:t>
      </w:r>
    </w:p>
    <w:p>
      <w:r>
        <w:rPr>
          <w:b/>
        </w:rPr>
        <w:t>E. 3</w:t>
      </w:r>
    </w:p>
    <w:p>
      <w:r>
        <w:t>Mit Bezug auf die Auslegung dieser Reglementsbestimmungen nach dem Vertrauensprinzip (vgl. statt vieler Urteil 9C_882/2013 vom 6. Mai 2014 E. 4.1 mit Hinweisen) ist einzig umstritten, ob die Beschwerdegegnerin innerhalb von 360 Tagen nach Ablauf der Nachdeckungsfrist am ... im Sinne von Art. 5 invalid erklärt wurde. Die Frage ist entgegen der Auffassung des kantonalen Berufsvorsorgegerichts zu verneinen und damit auch der Anspruch der Beschwerdegegnerin auf Invaliditätsleistungen nach diesem Reglement, ohne dass auf seine diesbezüglichen Erwägungen und die Vorbringen der Parteien im Einzelnen einzugehen wäre:</w:t>
      </w:r>
    </w:p>
    <w:p>
      <w:r>
        <w:t>Die Beschwerdegegnerin war beim Institut C.________ in einem 80 %-Pensum angestellt. Nach für das Bundesgericht verbindlicher Feststellung der Vorinstanz ( Art. 105 Abs. 1 und 2 BGG ) trat die zur Invalidität führende Arbeitsunfähigkeit (aArt. 23 BVG) im ... ein. Vom ... bis ... war die Beschwerdegegnerin arbeitsunfähig. Für die Zeit vom ... bis ... hat das kantonale Berufsvorsorgegericht - durch Einkommensvergleich ( Art. 16 ATSG i.V.m. Art. 28a Abs. 1 IVG ) - einen Invaliditätsgrad von 27 % ermittelt. Der Berechnung des (hypothetischen) Valideneinkommens ( BGE 125 V 146 E. 2a S. 149) legte sie den Verdienst zu Grunde, den die Beschwerdegegnerin ... bei einem Arbeitspensum von 100 % beim Institut C.________ hätte erzielen können (E. 6c/jj des angefochtenen Entscheids). Tatsächlich hatte sie jedoch lediglich zu 80 % gearbeitet. Es besteht kein Grund für eine Aufrechnung des Lohnes auf ein 100 %-Pensum, liefe dies doch im Ergebnis auf eine Ausweitung der Versicherungsdeckung, deren Umfang durch den Beschäftigungsgrad bei Eintritt der zur Invalidität führenden Arbeitsunfähigkeit ( Art. 23 lit. a BVG ) bestimmt wird ( BGE 141 V 127 E. 5.3.2 S. 134), hinaus, wie die Beschwerdeführerin richtig sinngemäss vorbringt.</w:t>
      </w:r>
    </w:p>
    <w:p>
      <w:r>
        <w:t>Gemäss Vorinstanz hätte der Jahresverdienst ... bei einem          80 %-Pensum Fr. 66'547.- (13 x Fr. 5'119.-) betragen. Aus der Gegenüberstellung mit dem - ebenfalls unbestrittenen - Invalideneinkommen von Fr. 60'777.60 (E. 6c/ii des angefochtenen Entscheids)ergibt sich ein Invaliditätsgrad von 9 % ([[Fr. 66'547.- - Fr. 60'777.60]/Fr. 66'547.-] x 100 %; zum Runden BGE 130 V 121 ), was nach Art. 5 Abs. 2 Reglement 1996 für eine Invalidenrente nicht ausreicht. Damit besteht kein Anspruch auf Invalidenleistungen nach Art. 25 Abs. 2 des Reglements. Umgekehrt hat die Beschwerdegegnerin keine Freizügigkeitsleistungen zurückzuerstatten, wie in Dispositiv-Ziffer 2 des angefochtenen Entscheids angeordnet.</w:t>
      </w:r>
    </w:p>
    <w:p>
      <w:r>
        <w:rPr>
          <w:b/>
        </w:rPr>
        <w:t>E. 4</w:t>
      </w:r>
    </w:p>
    <w:p>
      <w:r>
        <w:t>Mit dem Entscheid in der Sache ist die Frage der aufschiebenden Wirkung der Beschwerde gegenstandslos.</w:t>
      </w:r>
    </w:p>
    <w:p>
      <w:r>
        <w:rPr>
          <w:b/>
        </w:rPr>
        <w:t>E. 5</w:t>
      </w:r>
    </w:p>
    <w:p>
      <w:r>
        <w:t>Ausgangsgemäss wird die Beschwerdegegnerin kostenpflichtig      ( Art. 66 Abs. 1 BGG ). Die obsiegende Beschwerdeführerin hat keinen Anspruch auf Parteientschädigung ( Art. 68 Abs. 3 BGG ; Urteil 9C_767/2012 vom 22. Mai 2013 E. 4, in: SVR 2013 BVG Nr. 46 S.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