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341/2024 vom 12. August 2024</w:t>
      </w:r>
    </w:p>
    <w:p>
      <w:r>
        <w:t>Bundesgericht, 2024-08-12, DE</w:t>
      </w:r>
    </w:p>
    <w:p>
      <w:r>
        <w:rPr>
          <w:b/>
        </w:rPr>
        <w:t xml:space="preserve">Quelle: </w:t>
      </w:r>
      <w:r>
        <w:t>https://mcp.opencaselaw.ch/entscheid/bger_9C_341_2024</w:t>
      </w:r>
    </w:p>
    <w:p>
      <w:r>
        <w:t>FR: TF 9C 341/2024 du 12 août 2024</w:t>
      </w:r>
    </w:p>
    <w:p>
      <w:r>
        <w:t>IT: TF 9C 341/2024 del 12 agosto 2024</w:t>
      </w:r>
    </w:p>
    <w:p>
      <w:pPr>
        <w:pStyle w:val="Heading2"/>
      </w:pPr>
      <w:r>
        <w:t>Regeste</w:t>
      </w:r>
    </w:p>
    <w:p>
      <w:r>
        <w:t>Einfuhrabgaben, Steuerperiode 2019 | Öffentliche Finanzen &amp; Abgaberecht</w:t>
      </w:r>
    </w:p>
    <w:p>
      <w:pPr>
        <w:pStyle w:val="Heading2"/>
      </w:pPr>
      <w:r>
        <w:t>Erwägungen</w:t>
      </w:r>
    </w:p>
    <w:p>
      <w:r>
        <w:rPr>
          <w:b/>
        </w:rPr>
        <w:t>E. 1</w:t>
      </w:r>
    </w:p>
    <w:p>
      <w:r>
        <w:t>Das Bundesverwaltungsgericht bestätigte mit Urteil vom 13. Mai 2024 eine Nachforderungsverfügung der Eidgenössischen Zollverwaltung (EZV), Direktionsbereich Strafverfolgung, Zollfahndung Ost (ZFO), mit der A.________ zur Bezahlung von Fr. 21'841.90 (Zoll Fr. 376.20, Automobilsteuer Fr. 6'615.05, Mehrwertsteuer Fr. 13'243.30 und Verzugszinsen Fr. 1'167.35) verpflichtet wurde, da er ein unverzolltes und unversteuertes Fahrzeug verwendet habe. Gegen dieses Urteil führt A.________ Beschwerde in öffentlich-rechtlichen Angelegenheiten.</w:t>
      </w:r>
    </w:p>
    <w:p>
      <w:r>
        <w:rPr>
          <w:b/>
        </w:rPr>
        <w:t>E. 2.1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w:t>
      </w:r>
    </w:p>
    <w:p>
      <w:r>
        <w:rPr>
          <w:b/>
        </w:rPr>
        <w:t>E. 2.2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Rein appellatorische Kritik ist nicht ausreichend ( BGE 145 I 26 E. 1.3; 140 III 264 E. 2.3).</w:t>
      </w:r>
    </w:p>
    <w:p>
      <w:r>
        <w:rPr>
          <w:b/>
        </w:rPr>
        <w:t>E. 3.1</w:t>
      </w:r>
    </w:p>
    <w:p>
      <w:r>
        <w:t>Der Beschwerdeführer macht zunächst eine Verletzung des rechtlichen Gehörs sowie des Anspruchs, sich in einem Gerichtsverfahren von einem Rechtsanwalt vertreten zu lassen, geltend. Seinem Rechtsvertreter sei es im vorinstanzlichen Verfahren trotz rechtzeitiger Anzeige der Mandatierung nicht ermöglicht worden, sich zu Gunsten seines Mandanten in das Verfahren einzubringen.</w:t>
      </w:r>
    </w:p>
    <w:p>
      <w:r>
        <w:rPr>
          <w:b/>
        </w:rPr>
        <w:t>E. 3.2</w:t>
      </w:r>
    </w:p>
    <w:p>
      <w:r>
        <w:t>Gemäss den vorinstanzlichen Sachverhaltsfeststellungen, welche nicht offensichtlich unrichtig und damit für das Bundesgericht verbindlich sind (vgl. E. 2.1 hiervor), teilte der Beschwerdeführer dem Bundesverwaltungsgericht am 19. Dezember 2023 mit, dass er Rechtsanwalt Thomas Rihm als seinen Vertreter mandatiert habe. Am 15. Februar 2024 reichte er die entsprechende Vollmacht ein; der angefochtene Entscheid erging am 13. Mai 2024. In Anbetracht dessen, dass das vorinstanzliche Verfahren mit Beschwerde vom 11. August 2021 eingeleitet wurde, ist davon auszugehen, dass der Schriftenwechsel zum Zeitpunkt der Mandatierung des aktuellen Rechtsvertreters bereits abgeschlossen war. Der Beschwerdeführer macht nicht geltend, sein Rechtsvertreter hätte bei diesem Verfahrensstand durch das Gericht aufgefordert werden müssen, sich zum Verfahren zu äussern; ebensowenig macht er geltend, allfällige Eingaben seines Rechtsvertreters seien vom Gericht nicht entgegengenommen worden. Die pauschale Rüge der Verletzung von Art. 29 Abs. 1 und 2 BV genügt den Begründungsanforderungen nicht.</w:t>
      </w:r>
    </w:p>
    <w:p>
      <w:r>
        <w:rPr>
          <w:b/>
        </w:rPr>
        <w:t>E. 4.1</w:t>
      </w:r>
    </w:p>
    <w:p>
      <w:r>
        <w:t>Weiter rügt der Beschwerdeführer die Nichtgewährung der unentgeltlichen Rechtspflege im vorinstanzlichen Verfahren. Bei einer Rückweisung an die Vorinstanz sei die Aussichtslosigkeit zu verneinen, zudem sei der Entscheid überraschend gewesen, da er ein "mehrmonatig-peinliches Verfahren" zwecks Feststellung seiner Mittellosigkeit habe durchlaufen müssen.</w:t>
      </w:r>
    </w:p>
    <w:p>
      <w:r>
        <w:rPr>
          <w:b/>
        </w:rPr>
        <w:t>E. 4.2</w:t>
      </w:r>
    </w:p>
    <w:p>
      <w:r>
        <w:t>Das Bundesverwaltungsgericht hat das Gesuch um unentgeltliche Rechtspflege bereits mit Zwischenverfügung vom 29. Februar 2024 abgewiesen. Der Beschwerdeführer zeigt nicht auf, weshalb er nicht bereits gegen diese Verfügung ein Rechtsmittel ergriffen hat. Zudem legt er auch in diesem Punkt nicht dar, inwiefern das angefochtene Urteil bundesrechtswidrig sein sollte. Die angeblich fehlende Aussichtslosigkeit begründet er lediglich mit einer allfälligen Rückweisung. In Bezug auf den Nachweis der Mittellosigkeit wurde der Beschwerdeführer gemäss den unbestrittenen vorinstanzlichen Sachverhaltsfeststellungen lediglich aufgefordert, das entsprechende Formular auszufüllen und seine Angaben zu belegen. Inwiefern das Einholen von Unterlagen zur finanziellen Lage des Gesuchstellers dazu führen sollte, dass ein Gesuch um unentgeltliche Rechtspflege nicht mehr wegen Aussichtslosigkeit abgewiesen werden darf, ist weder erkennbar, noch wird dies vom Beschwerdeführer ausgeführt. Auch in diesem Punkt genügt die Beschwerde den Begründungsanforderungen nicht.</w:t>
      </w:r>
    </w:p>
    <w:p>
      <w:r>
        <w:rPr>
          <w:b/>
        </w:rPr>
        <w:t>E. 5</w:t>
      </w:r>
    </w:p>
    <w:p>
      <w:r>
        <w:t>Auf die Beschwerde ist mangels einer tauglichen Begründung im Verfahren nach Art. 108 Abs. 1 lit. a und Abs. 2 BGG nicht einzutreten. Das Gesuch um unentgeltliche Rechtspflege ist zufolge Aussichtslosigkeit des Rechtsmittels abzuweisen ( Art. 64 Abs. 1 und 2 BGG ). Der unterliegende Beschwerdeführer hat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