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341/2020 vom 4. September 2020</w:t>
      </w:r>
    </w:p>
    <w:p>
      <w:r>
        <w:t>Bundesgericht, 2020-09-04, DE</w:t>
      </w:r>
    </w:p>
    <w:p>
      <w:r>
        <w:rPr>
          <w:b/>
        </w:rPr>
        <w:t xml:space="preserve">Quelle: </w:t>
      </w:r>
      <w:r>
        <w:t>https://mcp.opencaselaw.ch/entscheid/bger_9C_341_2020</w:t>
      </w:r>
    </w:p>
    <w:p>
      <w:r>
        <w:t>FR: TF 9C 341/2020 du 4 septembre 2020</w:t>
      </w:r>
    </w:p>
    <w:p>
      <w:r>
        <w:t>IT: TF 9C 341/2020 del 4 settembre 2020</w:t>
      </w:r>
    </w:p>
    <w:p>
      <w:pPr>
        <w:pStyle w:val="Heading2"/>
      </w:pPr>
      <w:r>
        <w:t>Regeste</w:t>
      </w:r>
    </w:p>
    <w:p>
      <w:r>
        <w:t>Ergänzungsleistung zur AHV/IV | Ergänzungsleistung</w:t>
      </w:r>
    </w:p>
    <w:p>
      <w:pPr>
        <w:pStyle w:val="Heading2"/>
      </w:pPr>
      <w:r>
        <w:t>Erwägungen</w:t>
      </w:r>
    </w:p>
    <w:p>
      <w:r>
        <w:rPr>
          <w:b/>
        </w:rPr>
        <w:t>E. 1.1</w:t>
      </w:r>
    </w:p>
    <w:p>
      <w:r>
        <w:t>Ob die vom Beschwerdeführer neu eingereichten Akten der IV-Stelle zulässig sind (vgl. Art. 99 Abs. 1 BGG ; BGE 143 V 19 E. 1.2    S. 22 f. mit Hinweisen), kann offenbleiben. Sie sind für den Ausgang dieses Verfahrens ohnehin nicht von Belang (vgl. untenstehende       E. 4.1).</w:t>
      </w:r>
    </w:p>
    <w:p>
      <w:r>
        <w:rPr>
          <w:b/>
        </w:rPr>
        <w:t>E. 1.2</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2.1.1</w:t>
      </w:r>
    </w:p>
    <w:p>
      <w:r>
        <w:t>Anspruch auf Ergänzungsleistungen (EL) haben unter anderem Personen, die Anspruch auf eine Rente der Invalidenversicherung (IV) haben ( Art. 4 Abs. 1 lit. c ELG [SR 831.30]), wenn die vom Gesetz anerkannten Ausgaben die anrechenbaren Einnahmen übersteigen. Was als Ausgaben anerkannt und was als Einnahmen angerechnet wird, ist in Art. 10 und 11 ELG bestimmt. Für den Leistungsanspruch, der auch rückwirkend entstehen kann (vgl. Art. 12 Abs. 4 ELG i.V.m. Art. 22 Abs. 1 ELV [SR 831.301]), werden insbesondere Wohnsitz und gewöhnlicher Aufenthalt (vgl. Art. 13 ATSG ) in der Schweiz vorausgesetzt (Art. 4 Abs. 1 Ingress ELG).</w:t>
      </w:r>
    </w:p>
    <w:p>
      <w:r>
        <w:rPr>
          <w:b/>
        </w:rPr>
        <w:t>E. 2.1.2</w:t>
      </w:r>
    </w:p>
    <w:p>
      <w:r>
        <w:t>Kurzfristige Auslandaufenthalte - bis zu 92 Tage am Stück - unterbrechen die laufenden EL nicht (SVR 2015 EL Nr. 11 S. 33, 9C_174/2015 E. 3.3; Urteil 8C_493/2007 vom 15. Mai 2008 E. 2.2.1; vgl. auch Rz. 2330.01 der Wegleitung des BSV über die Ergänzungsleistungen zur AHV und IV [WEL]). Nach der Verwaltungspraxis (vgl. zur Bedeutung von Verwaltungsweisungen BGE 140 V 543 E. 3.2.2.1 S. 547 f.; 343 E. 5.2 S. 346) kann selbst ein über vier Monate dauernder Auslandaufenthalt - auch wenn dafür kein triftiger oder zwingender Grund vorliegt - ohne Einfluss auf die EL sein. Wenn sich eine Person im selben Kalenderjahr (ohne triftigen oder zwingenden Grund) insgesamt mehr als sechs Monate (183 Tage) im Ausland aufhält, entfällt der EL-Anspruch für das gesamte Kalenderjahr (vgl. zum Ganzen Rz. 2320.01-2340.04 WEL und die Beispiele in den Anhängen 3.1-3.3 WEL).</w:t>
      </w:r>
    </w:p>
    <w:p>
      <w:r>
        <w:rPr>
          <w:b/>
        </w:rPr>
        <w:t>E. 2.2</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i.V.m. Art. 2 ATSG und Art. 1 Abs. 1 ELG ; BGE 136 V 376 E. 4.1.1 S. 377). Der Untersuchungsgrundsatz wird durch die Mitwirkungspflicht der Versicherten resp. der Parteien beschränkt (vgl. Art. 28 und Art. 43 Abs. 2 ATSG ; BGE 138 V 86 E. 5.2.3 S. 97; 125 V 193 E. 2 S. 195), vor allem in Bezug auf Tatsachen, die sie besser kennen als die (Verwaltungs- oder Gerichts-) Behörde und welche diese sonst gar nicht oder nicht mit vernünftigem Aufwand erheben könnte (Urteil 9C_763/2016 vom 9. Oktober 2017 E. 2.1 mit Hinweisen).</w:t>
      </w:r>
    </w:p>
    <w:p>
      <w:r>
        <w:rPr>
          <w:b/>
        </w:rPr>
        <w:t>E. 2.3</w:t>
      </w:r>
    </w:p>
    <w:p>
      <w:r>
        <w:t>Kommen die versicherte Person oder andere Personen, die Ergänzungsleistungen beanspruchen, den Auskunfts- oder Mitwirkungspflichten in unentschuldbarer Weise nicht nach, so kann die EL-Durchführungsstelle aufgrund der Akten verfügen oder die Erhebungen einstellen und Nichteintreten beschliessen. Sie muss diese Personen vorher schriftlich mahnen und auf die Rechtsfolgen hinweisen; ihnen ist eine angemessene Bedenkzeit einzuräumen ( Art. 43 Abs. 3 ATSG ). Von der Möglichkeit, auf ein Leistungsgesuch nicht einzutreten, ist nur mit grösster Zurückhaltung Gebrauch zu machen ( BGE 131 V 42 E. 3 S. 47 mit Hinweisen). Nichteintreten kommt erst in Betracht, wenn eine Beurteilung des Leistungsbegehrens aufgrund der gesamten Aktenlage ohne Mitwirkung der Partei ausgeschlossen ist. Andererseits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(Urteile 9C_763/2016 vom 9. Oktober 2017 E. 2.2; 9C_553/2016 vom 17. November 2016 E. 2.1).</w:t>
      </w:r>
    </w:p>
    <w:p>
      <w:r>
        <w:rPr>
          <w:b/>
        </w:rPr>
        <w:t>E. 2.4</w:t>
      </w:r>
    </w:p>
    <w:p>
      <w:r>
        <w:t>Wie bereits im vorinstanzlichen Verfahren ist einzig umstritten und (als Rechtsfrage) zu prüfen, ob die Ausgleichskasse auf das Leistungsbegehren des Versicherten hätte eintreten müssen.</w:t>
      </w:r>
    </w:p>
    <w:p>
      <w:r>
        <w:rPr>
          <w:b/>
        </w:rPr>
        <w:t>E. 3</w:t>
      </w:r>
    </w:p>
    <w:p>
      <w:r>
        <w:t>Das kantonale Gericht hat erwogen, die bis zum Erlass der Verfügung vom 11. Januar 2019 eingereichten Unterlagen (Rentenverfügung vom 13. August 2018, Mahnung betreffend ausstehenden Wohnungsmietzins, Quittung für eine Mietzinszahlung, Kopie der Krankenversicherungskarte) hätten für eine Beurteilung des Leistungsanspruchs nicht genügt. Auch die (nicht beigezogenen) IV-Akten hätten über die wirtschaftlichen Verhältnisse des Versicherten nicht vollständig Auskunft geben können, und aus einer Wohnsitzbestätigung gehe nicht hervor, wie oft und wie lange sich der Versicherte seit Mai 2013 in der Türkei aufgehalten habe. Der Versicherte habe auf das Mahnschreiben vom 21. November 2018 nicht reagiert und damit seine Mitwirkungspflicht verletzt. Folglich sei die Verwaltung (mit der Verfügung vom 11. Januar 2019) zu Recht nicht auf sein Gesuch eingetreten. Daran ändere auch nichts, dass der Versicherte im Einspracheverfahren diverse Unterlagen (Bankkontoauszüge für die Zeit vom 10. Februar 2012 bis zum 31. Dezember 2017, Mietvertrag, Steuererklärung 2017, Abrechnung des Sozialdienstes über wirtschaftliche Sozialhilfe vom 29. April 2013 bis zum 27. August 2018, Krankenversicherungspolicen) beigebracht habe. Eine Aufstellung bzw. Bestätigung betreffend die Aufenthalte in der Türkei fehle nach wie vor und die Verwaltung habe nicht selber in Erfahrung bringen können, wie oft und wie lange sich der Versicherte in der Türkei aufgehalten habe.</w:t>
      </w:r>
    </w:p>
    <w:p>
      <w:r>
        <w:rPr>
          <w:b/>
        </w:rPr>
        <w:t>E. 4.1</w:t>
      </w:r>
    </w:p>
    <w:p>
      <w:r>
        <w:t>Ob die Ausgleichskasse zwingend die IV-Akten hätte beiziehen müssen, wie der Beschwerdeführer anzunehmen scheint, kann offenbleiben. Für die Frage, ob sie auf das EL-Gesuch des Versicherten hätte eintreten müssen, ist nicht die Aktenlage bei Erlass der Verfügung vom 11. Januar 2019, sondern jene im Zeitpunkt des Einspracheentscheids vom 21. Juni 2019 entscheidend, wurde doch das Verwaltungsverfahren erst durch dessen Erlass abgeschlossen (vgl. BGE 131 V 407 E. 2.1.2.1 S. 412).</w:t>
      </w:r>
    </w:p>
    <w:p>
      <w:r>
        <w:rPr>
          <w:b/>
        </w:rPr>
        <w:t>E. 4.2.1</w:t>
      </w:r>
    </w:p>
    <w:p>
      <w:r>
        <w:t>Weder die Ausgleichskasse noch die Vorinstanz stellte den schweizerischen Wohnsitz des Versicherten resp. dessen Abklärbarkeit in Frage. Zu den weiteren Voraussetzungen des EL-Anspruchs (ab 1. Mai 2013) lassen sich den im Einspracheverfahren eingereichten Unterlagen viele Informationen entnehmen. Aus der Rentenverfügung vom 13. August 2018 geht hervor, dass eine Ausbildung nur in geschütztem Rahmen möglich wäre, der Versicherte jedoch "zurzeit" die Grundanforderungen dafür nicht erfülle. Die Abrechnung des Sozialdienstes über wirtschaftliche Sozialhilfe enthält detaillierte Angaben über die Einnahmen und Ausgaben, mithin über die wirtschaftliche Situation des Versicherten. Wie häufig resp. regelmässig der Beschwerdeführer persönlich beim Sozialdienst erschienen war, hätte mit einer einfachen Nachfrage bei diesem geklärt werden können. Die Bankkontoauszüge weisen zahlreiche und regelmässige Bancomat-Bezüge und Maestrozahlungen im Kanton Zug aus, was als starkes Indiz für einen Aufenthalt in der Schweiz gewertet werden kann (vgl.  CARIGIET/KOCH, Ergänzungsleistungen zur AHV/IV, 2. Aufl. 2009,         S. 118). Auffällig ist aber beispielsweise, dass der Sozialdienst für die Monate April bis und mit August 2014 keinen Grundbedarf anerkannte und dass auf dem Bankkonto vom 26. Februar 2014 bis zum 31. August 2014 keine Belastungen verbucht wurden. Soweit sich aus den vorhandenen Unterlagen die Frage nach einem leistungsrelevanten Auslandaufenthalt stellt (vgl. obenstehende E. 2.1.2), hätte die Verwaltung ohne grossen Aufwand und mit entsprechenden konkreten Hinweisen nochmals beim Versicherten nachfragen und/oder die EL gegebenenfalls (vorübergehend) unter Berücksichtigung der objektiven Beweislast (vgl. Art. 8 ZGB ) verweigern können.</w:t>
      </w:r>
    </w:p>
    <w:p>
      <w:r>
        <w:rPr>
          <w:b/>
        </w:rPr>
        <w:t>E. 4.2.2</w:t>
      </w:r>
    </w:p>
    <w:p>
      <w:r>
        <w:t>Die vorinstanzliche Feststellung einer fehlenden Aufstellung bzw. Bestätigung betreffend die Aufenthalte in der Türkei - die im Schreiben vom 21. November 2018 (wenn auch ohne nähere Begründung) verlangt worden war - bleibt für das Bundesgericht verbindlich (vgl. obenstehende E. 1.2). Die blosse Behauptung des Versicherten, die entsprechenden Informationen liessen sich den "Vorakten" resp. IV-Unterlagen entnehmen, ändert daran nichts. Zudem stellt er nicht in Abrede, dass es ihm im Rahmen seiner Mitwirkungspflicht ohne Weiteres zumutbar gewesen wäre, bereits im Verwaltungsverfahren auf die erste Aufforderung hin zu allfälligen Auslandaufenthalten klar und substanziiert Stellung zu nehmen und, soweit vorhanden, entsprechende Unterlagen einzureichen. Angesichts der gebotenen Zurückhaltung (vgl. obenstehende E. 2.3) wiegt seine Unterlassung aber nicht derart schwer, dass sich bei der gegebenen Aktenlage (vgl. E. 4.2.1) das Nichteintreten auf sein EL-Gesuch rechtfertigen lässt. Im Ergebnis ist die Beschwerde begründet; die Ausgleichskasse wird materiell über den geltend gemachten Anspruch zu verfügen haben.</w:t>
      </w:r>
    </w:p>
    <w:p>
      <w:r>
        <w:rPr>
          <w:b/>
        </w:rPr>
        <w:t>E. 4.3</w:t>
      </w:r>
    </w:p>
    <w:p>
      <w:r>
        <w:t>Auf einen Schriftenwechsel wird angesichts des Verfahrensausgangs, der allein die Frage des Eintretens auf das Leistungsgesuch beantwortet, verzichtet. Die Einholung einer Vernehmlassung zur Beschwerde käme einem Leerlauf gleich und würde nur weitere Kosten verursachen. Damit ist ein Schriftenwechsel aus Gründen der Prozessökonomie nicht erforderlich ( Art. 102 Abs. 1 BGG ; Urteile 9C_612/2017 vom 27. Dezember 2017 E. 2; 9C_440/2017 vom       19. Juli 2017 E. 10).</w:t>
      </w:r>
    </w:p>
    <w:p>
      <w:r>
        <w:rPr>
          <w:b/>
        </w:rPr>
        <w:t>E. 5</w:t>
      </w:r>
    </w:p>
    <w:p>
      <w:r>
        <w:t>Dem Ausgang des Verfahrens entsprechend hat die Beschwerdegegnerin die 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