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9C_340/2017 vom 9. Februar 2018</w:t>
      </w:r>
    </w:p>
    <w:p>
      <w:r>
        <w:t>Bundesgericht, 2018-02-09, DE</w:t>
      </w:r>
    </w:p>
    <w:p>
      <w:r>
        <w:rPr>
          <w:b/>
        </w:rPr>
        <w:t xml:space="preserve">Quelle: </w:t>
      </w:r>
      <w:r>
        <w:t>https://mcp.opencaselaw.ch/entscheid/bger_9C_340_2017</w:t>
      </w:r>
    </w:p>
    <w:p>
      <w:r>
        <w:t>FR: TF 9C_340/2017 du 9 février 2018</w:t>
      </w:r>
    </w:p>
    <w:p>
      <w:r>
        <w:t>IT: TF 9C_340/2017 del 9 febbraio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Vorab ist auf die Rüge formeller Natur einzugehen. Die Beschwerdeführerin macht eine Verletzung von Art. 30 Abs. 1 BV und Art. 6 Ziff. 1 EMRK geltend: Mangels Bestimmbarkeit eines Streitwertes wäre für die vorinstanzliche Beurteilung nicht eine Einzelrichterin gemäss § 11 Abs. 1 des zürcherischen Gesetzes vom 7. März 1993 über das Sozialversicherungsgericht (GSVGer; ZH-Lex 212.81), sondern das Kollegialgericht (§ 9 Abs. 1 GSVGer) zuständig gewesen.</w:t>
      </w:r>
    </w:p>
    <w:p>
      <w:r>
        <w:t>Entgegen ihrer Darstellung geht aus der Verfügung vom 14. November 2016 unmissverständlich hervor, dass die IV-Stelle damit einzig den mit dem "Zusatzgesuch" vom 26. Mai 2016 konkret beantragten Anspruch auf Umschulung zur Kommunikationsplanerin beurteilte. Inwiefern unter diesen Umständen von einer falschen Besetzung des Spruchkörpers gesprochen werden kann, ist nicht erkennbar und wird auch nicht dargelegt.</w:t>
      </w:r>
    </w:p>
    <w:p>
      <w:r>
        <w:rPr>
          <w:b/>
        </w:rPr>
        <w:t>E. 3</w:t>
      </w:r>
    </w:p>
    <w:p>
      <w:r>
        <w:t>Die versicherte Person hat Anspruch auf Umschulung auf eine neue Erwerbstätigkeit, wenn die Umschulung infolge Invalidität notwendig ist und dadurch die Erwerbsfähigkeit voraussichtlich erhalten oder verbessert werden kann ( Art. 17 Abs. 1 IVG ). Unter Umschulung ist dabei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130 V 488 E. 4.2 S. 489 f.; Urteil 8C_163/2008 vom 8. August 2008 E. 2.2). Der Umschulungsanspruch setzt grundsätzlich eine Mindesterwerbseinbusse von rund 20 % in den für die versicherte Person ohne zusätzliche Ausbildung offenstehenden, noch zumutbaren Erwerbstätigkeiten voraus ( BGE 130 V 488 E. 4.2 S. 489 f.; 124 V 108 E. 3 S. 111; Urteil 8C_808/2017 vom 11. Januar 2018 E. 3).</w:t>
      </w:r>
    </w:p>
    <w:p>
      <w:r>
        <w:rPr>
          <w:b/>
        </w:rPr>
        <w:t>E. 4.1</w:t>
      </w:r>
    </w:p>
    <w:p>
      <w:r>
        <w:t>Die Vorinstanz hat festgestellt, eine Kommunikationsplanerin beschäftige sich vor allem mit der Organisation, der Planung, der Koordination und der planerischen und fachlichen Abwicklung von Werbeaufträgen. Die interessierende Ausbildung vermittle kommunikationsspezifische Kompetenzen, die in Kommunikations- und Werbeagenturen, Mediaagenturen und auf Auftraggeberseite verlangt werden. Der behandelnde Psychiater Prof. Dr. B.________ und der Regionale Ärztliche Dienst (RAD) würden darin übereinstimmen, dass die Versicherte an einer bipolaren Störung und an mittelgradigen kognitiven Einschränkungen leide und deshalb einer ruhigen regelmässigen Tätigkeit bedürfe. Der behandelnde Psychiater habe ausdrücklich darauf hingewiesen, dass eine Tätigkeit in der Werbewirtschaft aufgrund der Hektik kaum vorstellbar sei. Die Tätigkeit als Kommunikationsplanerin werde dem von den Ärzten formulierten Belastungsprofil nicht gerecht. Folglich hat das kantonale Gericht die umstrittene Umschulung als (hinsichtlich der Eingliederung; E. 3) ungeeignet betrachtet und einen entsprechenden Anspruch verneint.</w:t>
      </w:r>
    </w:p>
    <w:p>
      <w:r>
        <w:rPr>
          <w:b/>
        </w:rPr>
        <w:t>E. 4.2</w:t>
      </w:r>
    </w:p>
    <w:p>
      <w:r>
        <w:t>Dass die vorinstanzlichen Feststellungen offensichtlich unrichtig sein sollen, ist nicht ersichtlich und wird auch nicht geltend gemacht. Die Beschwerdeführerin rügt einzig eine Verletzung des Untersuchungsgrundsatzes ( Art. 61 lit. c ATSG ); sie leitet aus dem Umstand, dass der behandelnde Psychiater die umstrittene Ausbildung unterstützte, weiteren Abklärungsbedarf ab. Diesbezüglich hat das kantonale Gericht festgestellt, dass das Schreiben des Prof. Dr. B.________ vom 2. September 2016 keine Angaben zu einem veränderten Belastungsprofil enthalte. Eine entsprechende Verbesserung des Gesundheitszustandes bringt denn auch die Beschwerdeführerin selber nicht vor. Mangels konkreter Anhaltspunkte erfolgte der Verzicht auf weitere Abklärungen in antizipierender Beweiswürdigung, was keine Verletzung des Untersuchungsgrundsatzes darstellt (vgl. BGE 136 I 229 E. 5.3 S. 236 ; 134 I 140 E. 5.3 S. 148). Die vorinstanzlichen Feststellungen beruhen demnach auch nicht auf einer Rechtsverletzung; sie bleiben für das Bundesgericht verbindlich (E. 1).</w:t>
      </w:r>
    </w:p>
    <w:p>
      <w:r>
        <w:rPr>
          <w:b/>
        </w:rPr>
        <w:t>E. 4.3</w:t>
      </w:r>
    </w:p>
    <w:p>
      <w:r>
        <w:t>Soweit sich die Beschwerdeführerin auf die Berufs- resp. Berufswahlfreiheit ( Art. 27 BV ; Art. 8 EMRK ) beruft, kann sie nichts für sich ableiten: Einerseits genügt die Beschwerde diesbezüglich den qualifizierten Anforderungen an die Begründungspflicht (vgl. Art. 106 Abs. 2 BGG ; BGE 136 I 49 E. 1.4.1 S. 53) nicht; anderseits lässt sich aus den angerufenen Grundrechten grundsätzlich kein unmittelbarer Anspruch auf Sozialversicherungsleistungen ableiten (vgl. SVR 2015 IV Nr. 2 S. 3, 8C_803/2013 E. 4.3.1 mit Hinweisen; Urteil 9C_399/2017 vom 10. August 2017 E. 3.5). Dass der angefochtene Entscheid in anderer Weise gegen Bundesrecht verstossen soll, wird nicht dargelegt.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