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339/2014 vom 31. Juli 2014</w:t>
      </w:r>
    </w:p>
    <w:p>
      <w:r>
        <w:t>Bundesgericht, 2014-07-31, FR</w:t>
      </w:r>
    </w:p>
    <w:p>
      <w:r>
        <w:rPr>
          <w:b/>
        </w:rPr>
        <w:t xml:space="preserve">Quelle: </w:t>
      </w:r>
      <w:r>
        <w:t>https://mcp.opencaselaw.ch/entscheid/bger_9C_339_2014</w:t>
      </w:r>
    </w:p>
    <w:p>
      <w:r>
        <w:t>FR: TF 9C 339/2014 du 31 juillet 2014</w:t>
      </w:r>
    </w:p>
    <w:p>
      <w:r>
        <w:t>IT: TF 9C 339/2014 del 31 luglio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L'office recourant conteste la répartition des champs d'activité retenue par la juridiction cantonale.</w:t>
      </w:r>
    </w:p>
    <w:p>
      <w:r>
        <w:rPr>
          <w:b/>
        </w:rPr>
        <w:t>E. 2.1</w:t>
      </w:r>
    </w:p>
    <w:p>
      <w:r>
        <w:t>La juridiction cantonale a jugé qu'il fallait désormais considérer l'intimée comme une assurée qui aurait exercé une activité lucrative à 80 %. Quand bien même l'intimée n'avait jamais exercé par le passé une activité à un taux de 80 % en raison de son état de santé, elle avait toujours manifesté son intention d'exercer une activité lucrative, même lorsque son fils était encore en bas âge. Depuis la décision initiale d'octroi de la rente, sa situation personnelle et financière avait évolué, puisqu'au moment de la décision litigieuse, son fils était désormais âgé de 19 ans, elle était en instance de divorce et elle ne disposait à titre de revenus plus que de sa rente d'invalidité et de la pension alimentaire versée par son ex-conjoint. Il ne pouvait être tiré du fait que l'intimée ait des dépenses apparemment modestes la conclusion péremptoire que, compte tenu de la pension alimentaire versée par son ex-conjoint, elle pouvait se contenter d'une demi-rente d'invalidité. Pareille conclusion revenait à soutenir l'idée préconçue qu'une femme disposant d'une pension alimentaire "confortable" ne pouvait avoir d'autre ambition que de s'en contenter. C'est oublier en effet qu'une femme pouvait avoir envie de travailler parce que cela participait à étoffer sa vie sociale ou à améliorer son ordinaire. Or tel était manifestement le cas en l'espèce. Les circonstances personnelles, familiales, sociales, financières et professionnelles permettaient d'admettre, au degré de la vraisemblance prépondérante, que l'intimée, si son état de santé le lui permettait, travaillerait à 80 % au moins: son fils était désormais autonome, elle vivait séparée et le travail était bénéfique à son état de santé psychique. Quant aux 3'000 fr. versés chaque mois par son ex-conjoint, ils équivalaient à un salaire pour une activité d'assistante médicale à mi-temps, de sorte qu'un revenu supplémentaire était le bienvenu afin d'assurer un train de vie plus agréable.</w:t>
      </w:r>
    </w:p>
    <w:p>
      <w:r>
        <w:rPr>
          <w:b/>
        </w:rPr>
        <w:t>E. 2.2</w:t>
      </w:r>
    </w:p>
    <w:p>
      <w:r>
        <w:t>L'office recourant reproche à la juridiction cantonale d'avoir procédé à une constatation manifestement inexacte des faits pertinents consécutive à une mauvaise appréciation des preuves et, partant, d'avoir violé le droit fédéral, en retenant que l'intimée aurait exercé une activité lucrative à 80 % si elle était demeurée en bonne santé. En effet, aucun élément du dossier ne permettait de modifier le statut de l'intimée comme assurée exerçant une activité lucrative à 50 %. En substance, la juridiction cantonale ne se serait pas fondée sur des faits déterminants pour trancher la question litigieuse. En particulier, le versement par l'ex-conjoint d'une pension alimentaire mensuelle de 3'000 fr., montant qui correspondait approximativement au revenu qu'elle pouvait obtenir dans son activité d'assistante médicale exercée à mi-temps, ne justifiait nullement que l'intimée augmentât son temps de travail au-delà d'un mi-temps.</w:t>
      </w:r>
    </w:p>
    <w:p>
      <w:r>
        <w:rPr>
          <w:b/>
        </w:rPr>
        <w:t>E. 2.3</w:t>
      </w:r>
    </w:p>
    <w:p>
      <w:r>
        <w:t>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3.2 p. 338 et les références).</w:t>
      </w:r>
    </w:p>
    <w:p>
      <w:r>
        <w:rPr>
          <w:b/>
        </w:rPr>
        <w:t>E. 2.4</w:t>
      </w:r>
    </w:p>
    <w:p>
      <w:r>
        <w:t>En l'occurrence, l'office recourant ne parvient pas à démontrer le caractère insoutenable des considérations contenues dans le jugement entrepris. La juridiction cantonale a notamment mis en évidence les changements significatifs intervenus dans la situation familiale de l'intimée depuis la décision initiale d'octroi de la rente, dans la mesure où elle avait divorcé et où son fils était désormais âgé de 19 ans. L'office recourant ne revient pas sur ces motifs, mais considère qu'il faut attacher une importance primordiale à la pension alimentaire versée par l'ex-conjoint de l'intimée, dont le montant de 3'000 fr. ôterait objectivement toute nécessité d'exercer une activité lucrative au-delà d'un mi-temps. Or, comme l'admet d'ailleurs l'office recourant, le montant de cette pension tient compte de l'état de santé fragile de l'intimée (cf. le jugement de divorce rendu par le Tribunal de première instance de la République et canton de Genève du 27 juin 2013). Il y a donc lieu d'en déduire que la pension versée à l'intimée aurait été arrêtée à un montant inférieur si l'intimée avait joui d'une santé normale et été en mesure d'exercer une activité lucrative, argument qui, compte tenu de l'ensemble des circonstances, plaide plutôt en faveur d'une augmentation du taux d'activité. Pour le reste, les autres arguments invoqués par l'office recourant ne suffisent pas à remettre en cause l'argumentation de la juridiction cantonale. Au vu de ce qui précède, il n'y a pas lieu de s'écarter de la répartition des tâches retenue par la juridiction cantonale, selon laquelle l'intimée aurait exercé, à la date déterminante de la décision litigieuse, une activité lucrative à raison de 80 %, et aurait consacré le reste de son temps à ses travaux habituels.</w:t>
      </w:r>
    </w:p>
    <w:p>
      <w:r>
        <w:rPr>
          <w:b/>
        </w:rPr>
        <w:t>E. 3</w:t>
      </w:r>
    </w:p>
    <w:p>
      <w:r>
        <w:t>Mal fondé, le recours doit par conséquent être rejeté. Vu l'issue du litige, les frais de la procédure sont mis à la charge de l'office recourant ( art. 66 al. 1 LTF ). L'intimée, qui a été invitée à se déterminer sur le recours, peut prétendre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