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338/2010 vom 26. August 2010</w:t>
      </w:r>
    </w:p>
    <w:p>
      <w:r>
        <w:t>Bundesgericht, 2010-08-26, DE</w:t>
      </w:r>
    </w:p>
    <w:p>
      <w:r>
        <w:rPr>
          <w:b/>
        </w:rPr>
        <w:t xml:space="preserve">Quelle: </w:t>
      </w:r>
      <w:r>
        <w:t>https://mcp.opencaselaw.ch/entscheid/bger_9C_338_2010</w:t>
      </w:r>
    </w:p>
    <w:p>
      <w:r>
        <w:t>FR: TF 9C 338/2010 du 26 août 2010</w:t>
      </w:r>
    </w:p>
    <w:p>
      <w:r>
        <w:t>IT: TF 9C 338/2010 del 26 agosto 2010</w:t>
      </w:r>
    </w:p>
    <w:p>
      <w:pPr>
        <w:pStyle w:val="Heading2"/>
      </w:pPr>
      <w:r>
        <w:t>Regeste</w:t>
      </w:r>
    </w:p>
    <w:p>
      <w:r>
        <w:t>Alters- und Hinterlassenenversicherung | Alters- und Hinterlassenenversicherung</w:t>
      </w:r>
    </w:p>
    <w:p>
      <w:pPr>
        <w:pStyle w:val="Heading2"/>
      </w:pPr>
      <w:r>
        <w:t>Erwägungen</w:t>
      </w:r>
    </w:p>
    <w:p>
      <w:r>
        <w:rPr>
          <w:b/>
        </w:rPr>
        <w:t>E. 1</w:t>
      </w:r>
    </w:p>
    <w:p>
      <w:r>
        <w:t>Die angefochtene Dispositiv-Ziffer 3 des vorinstanzlichen Entscheids setzt die Parteientschädigung für das Verfahren AK.2008.00035 vor dem Sozialversicherungsgericht des Kantons Zürich fest, in welchem der Beschwerdeführer obsiegte. Es handelt sich um einen Endentscheid im Sinne von Art. 90 BGG .</w:t>
      </w:r>
    </w:p>
    <w:p>
      <w:r>
        <w:rPr>
          <w:b/>
        </w:rPr>
        <w:t>E. 2.1</w:t>
      </w:r>
    </w:p>
    <w:p>
      <w:r>
        <w:t>Mit der Beschwerde in öffentlich-rechtlichen Angelegenheiten kann u.a. die Verletzung von Bundesrecht sowie von kantonalen verfassungsmässigen Rechten gerügt werden ( Art. 95 lit. a und c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BGE 130 III 136 E. 1.4 S. 140). Immerhin prüft das Bundesgericht, unter Berücksichtigung der allgemeinen Begründungspflicht der Beschwerde ( Art. 42 Abs. 1 und 2 BGG ), grundsätzlich nur die geltend gemachten Rügen, sofern die rechtlichen Mängel nicht geradezu offensichtlich sind. Heisst das Bundesgericht die Beschwerde gut, so entscheidet es in der Sache selbst oder weist diese zur neuen Beurteilung an die Vorinstanz zurück (Art. 107 Abs. 2 erster Satz BGG).</w:t>
      </w:r>
    </w:p>
    <w:p>
      <w:r>
        <w:rPr>
          <w:b/>
        </w:rPr>
        <w:t>E. 3.1</w:t>
      </w:r>
    </w:p>
    <w:p>
      <w:r>
        <w:t>Nach Art. 61 lit. g ATSG und § 34 Abs. 1 des kantonalen Gesetzes über das Sozialversicherungsgericht vom 7. März 1993 (LS 212.81; GSVGer) hat die obsiegende Beschwerde führende Person im kantonalen Verfahren Anspruch auf Ersatz der Parteikosten, wobei diese vom Versicherungsgericht festgesetzt und ohne Rücksicht auf den Streitwert nach der Bedeutung der Streitsache und nach der Schwierigkeit des Prozesses bemessen wird.</w:t>
      </w:r>
    </w:p>
    <w:p>
      <w:r>
        <w:rPr>
          <w:b/>
        </w:rPr>
        <w:t>E. 3.2</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das Bundesgericht darüber hinaus nur, ob die Höhe der Parteientschädigung vor dem Willkürverbot standhält. Dies gilt insbesondere mit Bezug auf den vom kantonalen Versicherungsgericht angewendeten Tarif (Urteil 9C_688/2009 vom 19. November 2009 E. 3.2.1 mit Hinweisen).</w:t>
      </w:r>
    </w:p>
    <w:p>
      <w:r>
        <w:rPr>
          <w:b/>
        </w:rPr>
        <w:t>E. 4</w:t>
      </w:r>
    </w:p>
    <w:p>
      <w:r>
        <w:t>Der Beschwerdeführer rügt insbesondere, die Vorinstanz habe ihn vor der Festsetzung der Parteientschädigung nicht angehört und ohne Berücksichtigung des tatsächlichen Arbeitsaufwand seines Rechtsvertreters die Entschädigung ermessensweise auf Fr. 800.- festgesetzt, was unzulässig sei. Der zeitliche Aufwand des Rechtsvertreters für seine Vertretung und diejenige der zwei Mitbeschwerdeführerinnen habe 22 Stunden und 20 Minuten betragen. Umgerechnet auf den ihm selbst zuzurechnenden Anteil, welcher vernünftigerweise einen Drittel des Aufwandes betrage, ergebe die zugesprochene Entschädigung ein Stundenhonorar von Fr. 104.35, was deutlich unter jenem Bereich liege, der gemäss der Rechtsprechung als willkürfrei gelte.</w:t>
      </w:r>
    </w:p>
    <w:p>
      <w:r>
        <w:rPr>
          <w:b/>
        </w:rPr>
        <w:t>E. 5.1</w:t>
      </w:r>
    </w:p>
    <w:p>
      <w:r>
        <w:t>Die kantonale Instanz ist bei der Bemessung der Parteientschädigung von Bundesrechts wegen nicht an die allenfalls geltend gemachten Honoraransprüche gebunden, weshalb Art. 29 Abs. 2 BV grundsätzlich nicht verletzt wird, wenn auf die Einholung einer Kostennote verzichtet wird (Urteil 2P.83/1998 vom 5. Januar 1999 E. 3a). Soweit der Beschwerdeführer rügt, das kantonale Gericht habe seinen Anspruch auf rechtliches Gehör dadurch verletzt, dass es keine Honorarnote seines Rechtsvertreters einholte, sind seine Vorbringen unbegründet (vgl. auch Georg Wilhelm, in: Zünd/Pfiffner (Hrsg.), Gesetz über das Sozialversicherungsgericht des Kantons Zürich, 2009, N 12 zu § 34 mit Hinweis auf SVR 2001 AHV Nr. 4 S. 12 E. 3b und c).</w:t>
      </w:r>
    </w:p>
    <w:p>
      <w:r>
        <w:rPr>
          <w:b/>
        </w:rPr>
        <w:t>E. 5.2</w:t>
      </w:r>
    </w:p>
    <w:p>
      <w:r>
        <w:t>Nach der Rechtsprechung kann die Parteientschädigung für das Verfahren vor dem kantonalen Versicherungsgericht willkürfrei innerhalb einer Bandbreite von Fr. 160.- bis Fr. 320.- pro Stunde (inklusive Mehrwertsteuer) festgelegt werden (SVR 2002 AlV Nr. 3 S. 5 E. 4c). Gemäss BGE 132 I 201 E. 8.7 muss das Honorar des unentgeltlichen Anwalts in der Regel mindestens in der Grössenordnung von Fr. 180.- pro Stunde liegen. Vorliegend war der Rechtsvertreter des Beschwerdeführers zum unentgeltlichen Rechtsbeistand ernannt worden. Der obsiegende Beschwerdeführer darf nicht schlechter gestellt werden als der unterliegende (Urteil 9C_688/2009 vom 19. November 2009, SVR 2010 IV Nr. 27, E. 5.2.1). Mit dem zugesprochenen Honorar von Fr. 800.- wäre bei einem Stundenansatz von Fr. 180.- somit ein Aufwand von knapp 4,5 Stunden entschädigt. Der Rechtsvertreter hat in seiner zulässigerweise ( Art. 99 Abs. 1 BGG ) letztinstanzlich eingereichten Kostennote für die drei Beschwerdeführenden einen Aufwand von insgesamt 22 Stunden 20 Minuten angegeben und den resultierenden Betrag durch drei geteilt. Der geltend gemachte Aufwand kann angesichts des Umfangs des Dossiers und der Bedeutung der Sache nicht als unangemessen hoch betrachtet werden. Er ist durch die zugesprochene Parteientschädigung bei weitem nicht abgedeckt. Insoweit erweist sich der vorinstanzliche Entscheid als willkürlich (vgl. Urteil C 223/05 vom 16. November 2005 E. 4.4, SVR 2006 AlV Nr. 15). Die Beschwerde ist gutzuheissen und die Sache an die Vorinstanz zurückzuweisen, damit sie über die Höhe der dem Beschwerdeführer zustehenden Parteientschädigung neu entscheidet.</w:t>
      </w:r>
    </w:p>
    <w:p>
      <w:r>
        <w:rPr>
          <w:b/>
        </w:rPr>
        <w:t>E. 6</w:t>
      </w:r>
    </w:p>
    <w:p>
      <w:r>
        <w:t>Dem Verfahrensausgang entsprechend werden die Gerichtskosten der Beschwerdegegnerin auferlegt ( Art. 66 Abs. 1 BGG ). Dem Beschwerdeführer steht 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