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9C_338/2009 vom 23. Juni 2009</w:t>
      </w:r>
    </w:p>
    <w:p>
      <w:r>
        <w:t>Bundesgericht, 2009-06-23, DE</w:t>
      </w:r>
    </w:p>
    <w:p>
      <w:r>
        <w:rPr>
          <w:b/>
        </w:rPr>
        <w:t xml:space="preserve">Quelle: </w:t>
      </w:r>
      <w:r>
        <w:t>https://mcp.opencaselaw.ch/entscheid/bger_9C_338_2009</w:t>
      </w:r>
    </w:p>
    <w:p>
      <w:r>
        <w:t>FR: TF 9C_338/2009 du 23 juin 2009</w:t>
      </w:r>
    </w:p>
    <w:p>
      <w:r>
        <w:t>IT: TF 9C_338/2009 del 23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Die Vorinstanz hat in pflichtgemässer Würdigung der gesamten Aktenlage mit einlässlicher und nachvollziehbarer Begründung erkannt, dass dem Beschwerdeführer mit seinen gesundheitlichen Beeinträchtigungen (im Wesentlichen der insulinpflichtige Diabetes mellitus) nur noch die Ausübung einer leichteren, leidensangepassten Verweisungstätigkeit vollschichtig zumutbar ist, jedoch nicht mehr die Arbeit in der angestammten Tätigkeit auf dem Bau. Damit könnte er ein Einkommen erzielen, das unter Berücksichtigung eines Abzuges vom Tabellenlohn von 15% zu einen rentenausschliessenden Invaliditätsgrad von 34% führt.</w:t>
      </w:r>
    </w:p>
    <w:p>
      <w:r>
        <w:rPr>
          <w:b/>
        </w:rPr>
        <w:t>E. 2.2</w:t>
      </w:r>
    </w:p>
    <w:p>
      <w:r>
        <w:t>Die tatsächlichen Feststellungen der Vorinstanz sind nicht mangelhaft im Sinne von Art. 97 Abs. 1 BGG . Ebensowenig ist eine Bundesrechtsverletzung darin zu erblicken, dass die Vorinstanz von der Anordnung weiterer medizinischer Abklärungen abgesehen hat. Schliesslich ist auch die Ermittlung eines Invaliditätsgrades von weniger als 50% ( Art. 28 Abs. 1ter IVG in der bis Ende Dezember 2007 gültig gewesenen und hier anwendbaren Fassung) bundesrechtskonform. An diesem Ergebnis vermögen die Vorbringen des Beschwerdeführers allesamt nichts zu ändern.</w:t>
      </w:r>
    </w:p>
    <w:p>
      <w:r>
        <w:rPr>
          <w:b/>
        </w:rPr>
        <w:t>E. 3.1</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3.2</w:t>
      </w:r>
    </w:p>
    <w:p>
      <w:r>
        <w:t>Die Gerichtskosten werden dem Beschwerdeführer als unterliegender Partei auferlegt ( Art. 66 Abs. 1 BGG ), nachdem das Gesuch um unentgeltliche Rechtspflege mit Verfügung vom 13. Mai 2009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