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9C_333/2022 vom 10. Mai 2023</w:t>
      </w:r>
    </w:p>
    <w:p>
      <w:r>
        <w:t>Bundesgericht, 2023-05-10, FR</w:t>
      </w:r>
    </w:p>
    <w:p>
      <w:r>
        <w:rPr>
          <w:b/>
        </w:rPr>
        <w:t xml:space="preserve">Quelle: </w:t>
      </w:r>
      <w:r>
        <w:t>https://mcp.opencaselaw.ch/entscheid/bger_9C_333_2022</w:t>
      </w:r>
    </w:p>
    <w:p>
      <w:r>
        <w:t>FR: TF 9C_333/2022 du 10 mai 2023</w:t>
      </w:r>
    </w:p>
    <w:p>
      <w:r>
        <w:t>IT: TF 9C_333/2022 del 10 maggio 2023</w:t>
      </w:r>
    </w:p>
    <w:p>
      <w:pPr>
        <w:pStyle w:val="Heading2"/>
      </w:pPr>
      <w:r>
        <w:t>Erwägungen</w:t>
      </w:r>
    </w:p>
    <w:p>
      <w:r>
        <w:rPr>
          <w:b/>
        </w:rPr>
        <w:t>E. 1.1</w:t>
      </w:r>
    </w:p>
    <w:p>
      <w:r>
        <w:t>A l'instar de la procédure qui avait donné lieu à l'arrêt 9C_649/2018 (consid. 2.1), la recourante prend derechef des conclusions cassatoires, sans indiquer formellement ce qu'elle entend obtenir sur le fond de la cause. Les conclusions doivent cependant être interprétées selon le principe de la confiance, à la lumière de la motivation du recours ( ATF 137 III 617 consid. 6.2). Au vu des motifs présentés, on peut comprendre que la recourante conteste le calcul de son revenu d'invalide par l'autorité précédente sur la base de l'ESS; elle laisse entendre que son taux d'invalidité global est supérieur à 38,3 % et qu'il ouvrirait droit à la rente. Il y a dès lors lieu d'entrer en matière sur le recours, les autres conditions de recevabilité ne prêtant pas à discussion.</w:t>
      </w:r>
    </w:p>
    <w:p>
      <w:r>
        <w:rPr>
          <w:b/>
        </w:rPr>
        <w:t>E. 1.2</w:t>
      </w:r>
    </w:p>
    <w:p>
      <w:r>
        <w:t>Devant le Tribunal fédéral, la recourante dépose plusieurs certificats de salaire portant sur les années 2019 à 2021. Ces pièces n'avaient pas été versées au dossier de l'instance précédente, sans que la recourante n'explique ce qui l'aurait empêché de le faire en temps utile si elle les jugeait pertinentes. Dès lors qu'il n'est pas possible de présenter de pièces que l'on a négligé de produire devant l'autorité précédente, la Cour de céans ne peut pas en tenir compte, (cf. ATF 143 V 19 consid. 1.2).</w:t>
      </w:r>
    </w:p>
    <w:p>
      <w:r>
        <w:rPr>
          <w:b/>
        </w:rPr>
        <w:t>E. 2.1</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140 III 264 consid. 2.3) - ou en violation du droit au sens de l' art. 95 LTF ( art. 105 al. 2 LTF ). Il applique le droit d'office ( art. 106 al. 1 LTF ), sans être lié ni par les motifs de l'autorité précédente, ni par les moyens des parties. Le Tribunal fédéral n'examine en principe que les griefs invoqués, compte tenu de l'exigence de motivation prévue à l' art. 42 al. 2 LTF , pour autant que les manquements ne soient pas manifestes ( ATF 144 V 173 consid. 1.2 et les références).</w:t>
      </w:r>
    </w:p>
    <w:p>
      <w:r>
        <w:rPr>
          <w:b/>
        </w:rPr>
        <w:t>E. 3</w:t>
      </w:r>
    </w:p>
    <w:p>
      <w:r>
        <w:t>Le litige porte sur le droit de la recourante à une rente d'invalidité dans le cadre de la nouvelle demande de prestations déposée le 28 janvier 2019 conformément à l'al. 2 des dispositions transitoires relatives à la modification du RAI du 1er décembre 2017, en vigueur depuis le 1er janvier 2018. Selon cette disposition réglementaire, lorsque l'octroi d'une rente a été refusé avant l'entrée en vigueur de la modification du 1er décembre 2017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 bis, al. 2 à 4, aboutira à la reconnaissance d'un droit à la rente (RO 2017 7581).</w:t>
      </w:r>
    </w:p>
    <w:p>
      <w:r>
        <w:t>L'arrêt attaqué expose correctement les dispositions légales et les principes jurisprudentiels relatifs à l'évaluation de l'invalidité ( art. 16 LPGA et art. 28a LAI ), en particulier ceux qui se rapportent à la méthode mixte ( ATF 137 V 334 ), ainsi qu'à l'obligation de l'assuré de participer activement à la mise en oeuvre notamment de mesures de réadaptation d'ordre professionnel ( art. 7 ss LAI en relation avec l' art. 21 al. 4 LPGA ). Il suffit d'y renvoyer. L'arrêt précise également à juste titre que les modifications intervenues dans le cadre du "développement continu de l'AI", prenant effet au 1er janvier 2022 (RO 2021 705; FF 2017 2535), ne sont pas applicables au présent litige. Comme la décision administrative a été rendue avant cette date, le droit applicable est celui qui était en vigueur jusqu'au 31 décembre 2021 (cf. ATF 144 V 210 consid. 4.2.1).</w:t>
      </w:r>
    </w:p>
    <w:p>
      <w:r>
        <w:rPr>
          <w:b/>
        </w:rPr>
        <w:t>E. 4</w:t>
      </w:r>
    </w:p>
    <w:p>
      <w:r>
        <w:t>La recourante fait valoir qu'elle avait suivi avec succès une formation d'aide-soignante dans le cadre de sa réadaptation, mais que l'assurance-invalidité avait finalement dû constater et admettre qu'elle présentait une incapacité totale dans cette activité. Elle ajoute que si elle avait suivi les mesures de réadaptation préconisées par l'office intimé, elle n'aurait évidemment pas pu être réinsérée dans des emplois mieux rémunérés que ceux qu'elle exerce actuellement. Cela étant, la recourante en déduit que son revenu d'invalide doit être déterminé selon le revenu qu'elle réalise effectivement dans une activité estimée globalement à 40 % et non pas sur la base des statistiques de l'ESS.</w:t>
      </w:r>
    </w:p>
    <w:p>
      <w:r>
        <w:t>Par ailleurs, la recourante soutient que le calcul du revenu d'invalide effectué par les premiers juges en fonction de l'ESS est erroné, car on n'obtiendrait pas le montant de 45'971 fr. qui a été retenu.</w:t>
      </w:r>
    </w:p>
    <w:p>
      <w:r>
        <w:rPr>
          <w:b/>
        </w:rPr>
        <w:t>E. 5.1</w:t>
      </w:r>
    </w:p>
    <w:p>
      <w:r>
        <w:t>En principe, le revenu d'invalide doit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w:t>
      </w:r>
    </w:p>
    <w:p>
      <w:r>
        <w:t>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5.2</w:t>
      </w:r>
    </w:p>
    <w:p>
      <w:r>
        <w:t>Pour déterminer le revenu d'invalide, la juridiction cantonale s'est fondée sur les ESS, en écartant le salaire mensuel de l'ordre de 1'440 fr. que la recourante estimait réaliser dans ses activités professionnelles, parce qu'il était inférieur au salaire tiré des statistiques. Devant l'instance précédente, la recourante avait indiqué avoir passé son permis de taxi et avoir "débuté une activité dans ce sens" avant de reprendre un emploi d'agente de sécurité auxiliaire qui lui procurait un revenu mensuel net moyen de l'ordre de 1'440 fr., vacances comprises. A cette occasion, elle avait produit six fiches de salaires établies par son employeur, B.________ SA, afférentes aux rémunérations versées de février à juillet 2020.</w:t>
      </w:r>
    </w:p>
    <w:p>
      <w:r>
        <w:t>En se limitant à invoquer exercer l'activité de chauffeur de taxi et d'agente de sécurité auxiliaire, sans se référer à des revenus concrets tirés de l'ensemble des activités, ni démontrer à quel taux d'activité elle a effectivement travaillé à partir de 2019, la recourante n'établit pas, au degré de la vraisemblance prépondérante, que les activités invoquées mettraient pleinement en valeur la capacité résiduelle de travail exigible (établie dans les procédures antérieures) dans un emploi adapté à 50 %. Il ne suffit pas, à cet égard, d'alléguer un taux d'occupation de 40 %, sans aucunement étayer cette affirmation. On peut par ailleurs douter que les activités exercées reposent sur des rapports de travail suffisamment stables au sens de la jurisprudence (consid. 5.1 supra), comme la recourante indique que son salaire varie "car elle est la plupart du temps activée sur appel". Dans ces circonstances, la juridiction cantonale était en droit de déterminer le revenu d'invalide sur la base des ESS. On ajoutera que l'argumentation de la recourante est au demeurant insuffisante pour mettre en évidence, conformément à l' art. 97 al. 1 LTF , que la prise en considération des activités dont elle se prévaut conduirait, à l'issue de la comparaison des revenus au sens de l' art. 16 LPGA et en application de l' art. 27bis RAI , à un taux d'invalidité susceptible de lui ouvrir le droit à une rente.</w:t>
      </w:r>
    </w:p>
    <w:p>
      <w:r>
        <w:rPr>
          <w:b/>
        </w:rPr>
        <w:t>E. 5.3</w:t>
      </w:r>
    </w:p>
    <w:p>
      <w:r>
        <w:t>C'est en vain que la recourante se plaint ensuite de ce que le calcul du taux d'invalidité de la juridiction cantonale ne serait pas compréhensible. En partant du revenu mensuel de 4'832 fr., pour le revenu d'invalide - tel que constaté par la juridiction cantonale sans que la recourante ne le remette en cause en tant que tel -, on obtient un revenu annuel (x 12) de 57'984 francs. Ajusté à la durée hebdomadaire du travail de 41,7 heures (les salaires bruts standardisés tiennent compte d'un horaire de travail de quarante heures, soit une durée inférieure à la moyenne usuelle dans les secteurs secondaire et tertiaire), ce revenu atteint 60'448 fr. 32 (57'984 x 41,7 / 40), puis 61'294 fr. 60 lorsqu'on l'adapte à l'évolution des salaires nominaux (+1,4 %). L'abattement de 25 % le réduit effectivement à 45'970 fr. 95. Dans ce cas, la comparaison de ce revenu d'invalide avec le revenu sans invalidité de 80'797 fr. 20 aboutit à une perte de gain de 43,1 % dans l'activité lucrative (45'970.95 / 80'797.20). Compte tenu du taux d'empêchement dans les tâches ménagères (33,6 %) et de la pondération entre ces dernières et l'activité lucrative (50 % pour chacune), le taux d'invalidité global s'élève donc à 38,3 %, singulièrement à 38 % arrondi. Il est inférieur au seuil de 40 % ouvrant droit à la rente ( art. 28 al. 2 LAI ).</w:t>
      </w:r>
    </w:p>
    <w:p>
      <w:r>
        <w:rPr>
          <w:b/>
        </w:rPr>
        <w:t>E. 5.4</w:t>
      </w:r>
    </w:p>
    <w:p>
      <w:r>
        <w:t>Vu ce qui précède, le recours est infondé.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