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9C_333/2009 vom 24. März 2010</w:t>
      </w:r>
    </w:p>
    <w:p>
      <w:r>
        <w:t>Bundesgericht, 2010-03-24, DE</w:t>
      </w:r>
    </w:p>
    <w:p>
      <w:r>
        <w:rPr>
          <w:b/>
        </w:rPr>
        <w:t xml:space="preserve">Quelle: </w:t>
      </w:r>
      <w:r>
        <w:t>https://mcp.opencaselaw.ch/entscheid/bger_9C_333_2009</w:t>
      </w:r>
    </w:p>
    <w:p>
      <w:r>
        <w:t>FR: TF 9C_333/2009 du 24 mars 2010</w:t>
      </w:r>
    </w:p>
    <w:p>
      <w:r>
        <w:t>IT: TF 9C_333/2009 del 24 marzo 2010</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Rahmen der Invaliditätsbemessung [ Art. 16 ATSG ]).</w:t>
      </w:r>
    </w:p>
    <w:p>
      <w:r>
        <w:rPr>
          <w:b/>
        </w:rPr>
        <w:t>E. 2</w:t>
      </w:r>
    </w:p>
    <w:p>
      <w:r>
        <w:t>Das kantonale Gericht hat die zur Beurteilung des Leistungsanspruchs einschlägigen Rechtsgrundlagen und die dazu ergangene Rechtsprechung zutreffend dargelegt. Darauf wird verwiesen.</w:t>
      </w:r>
    </w:p>
    <w:p>
      <w:r>
        <w:rPr>
          <w:b/>
        </w:rPr>
        <w:t>E. 2.1</w:t>
      </w:r>
    </w:p>
    <w:p>
      <w:r>
        <w:t>Die Vorinstanz erwog, nach einlässlicher Würdigung der medizinischen Akten, insbesondere des beweiskräftigen Gutachtens des Instituts X.________, es sei dem Versicherten leichte und mittelschwere Arbeit zu 80 % zumutbar. Der Beschwerdeführer, welcher gemäss Gutachten des Instituts X.________ an leichtgradiger depressiver Episode F32.00 und an einem panvertrebralen Schmerzsyndrom, nach Diagnosenstellung des behandelnden Arztes, des Psychiaters Dr. med. C.________, hingegen an mittel- und schwergradig depressiven Episoden leidet, rügt, die Vorinstanz habe ausschliesslich auf die im Gutachten des Instituts X.________ enthaltenen Einschätzungen abgestellt, obwohl die Befunde des psychiatrischen Gutachters des Instituts X.________ mangelhaft erhoben worden seien und er nach der Beurteilung des Dr. med. C.________ sowie weiterer Ärzte überhaupt nicht oder nur sehr beschränkt arbeitsfähig sei.</w:t>
      </w:r>
    </w:p>
    <w:p>
      <w:r>
        <w:rPr>
          <w:b/>
        </w:rPr>
        <w:t>E. 2.2</w:t>
      </w:r>
    </w:p>
    <w:p>
      <w:r>
        <w:t>Mit einer die Beschwerdeschrift ergänzenden Eingabe vom 21. April 2009 hat der Beschwerdeführer darauf hingewiesen, in einem Urteil des Verwaltungsgerichts des Kantons Luzern vom 16. März 2009 sei festgestellt worden, dass Dr. med. Y.________, Leiter des Instituts X.________, nicht als Gutachter anerkannt werden könne. Dieser Einwand, auf das Gutachten des Instituts X.________ hätte aus formellen Gründen nicht abgestellt werden dürfen, welcher an erster Stelle zu prüfen ist ( BGE 124 V 90 E. 2 S. 92 mit Hinweis), ist allerdings nicht stichhaltig. Denn einerseits wurde in jenem Urteil festgehalten, bei den genannten Verlautbarungen von Dr. med. Y.________ in einem Zeitungsinterview in der Ausgabe einer Regionalzeitung vom 2. März 2002 handle es sich um Aussagen, die bereits rund acht Jahre zurück liegen, weshalb das Gericht davon absehe, das von Dr. med. Y.________ verfasste psychiatrische Teilgutachten zurückzuweisen. Andererseits hat sich das Bundesgericht bereits in früheren Fällen dahingehend geäussert, dass die gegen Dr. med. Y.________ wegen seiner Zugehörigkeit zur Bewegung V.________ vorgebrachten Einwände nicht auf konkrete, die Versicherten direkt betreffende Vorkommnisse Bezug nehmen und so dessen fachliche Kompetenz sowie Objektivität und Unvoreingenommenheit bei der durchgeführten Begutachtung nicht in Frage stellen (vgl. etwa Urteile 8C_327/2009 vom 12. Juni 2009 E. 2.1; 8C_311/2008 vom 19. Dezember 2008 E. 5.1.3; 9C_412/2009 vom 10. Juli 2009 E. 3.2.2). Schliesslich weckt laut Urteil 8C_474/2009 vom 7. Januar 2010 E. 8.6-8.9 die Zugehörigkeit zu einer Glaubensgemeinschaft grundsätzlich keine Zweifel an der fachlichen Kompetenz des Gutachters. Dr. med. Y.________, Psychiatrie und Psychotherapie FMH, verfügt über das dem Facharzttitel entsprechende Wissen, wobei ein spezieller Zusammenhang zwischen Glaubensansichten und dem Streitgegenstand ohnehin nicht ersichtlich ist. Dieser Schluss gilt auch im vorliegenden Fall, weshalb in formeller Hinsicht auf das Gutachten des Instituts X.________ abgestellt werden kann.</w:t>
      </w:r>
    </w:p>
    <w:p>
      <w:r>
        <w:rPr>
          <w:b/>
        </w:rPr>
        <w:t>E. 2.3</w:t>
      </w:r>
    </w:p>
    <w:p>
      <w:r>
        <w:t>Der Versicherte beanstandet die Gutachten des Instituts X.________ auch inhaltlich. Die Vorinstanz habe daher zu Unrecht ausschliesslich auf die Einschätzungen des Instituts X.________ abgestellt, andere Arztberichte dagegen ignoriert. Überdies sei der Leidensabzug mit 10 % zu tief festgesetzt. Die Vorbringen in der Beschwerde erschöpfen sich allerdings weitgehend in einer rein appellatorischen und damit letztinstanzlich unzulässigen Kritik am vorinstanzlichen Entscheid. Der Beschwerdeführer erhebt keine Rügen, welche die Sachverhaltsfeststellung der Vorinstanz betreffend seinen Gesundheitszustand und seine Arbeitsfähigkeit als offensichtlich unrichtig oder auf einer Rechtsverletzung im Sinne von Art. 95 BGG beruhend erscheinen lassen (vgl. E. 1 hievor), sondern würdigt lediglich die medizinischen Unterlagen abweichend und zieht daraus andere Schlüsse als die Vorinstanz, was nicht genügt (Urteile 9C_688/2007 vom 22. Januar 2008 E. 2.3 und 4A_28/2007 vom 30. Mai 2007 E. 1.3 [in BGE III 421 nicht publiziert]). Wie hoch der im Einzelfall als dem Grundsatz nach gerechtfertigt erscheinende Leidensabzug anzusetzen ist, stellt schliesslich eine typische Ermessensfrage dar, deren Beantwortung nur mehr dort letztinstanzlicher Korrektur zugänglich ist, wo das kantonale Gericht das Ermessen rechtsfehlerhaft ausgeübt hat (vgl. BGE 132 V 393 E. 3.3 in fine S. 399; Urteil 8C_776/2008 vom 18. Juni 2009 E. 6.), was der Beschwerdeführer nicht darzulegen vermag.</w:t>
      </w:r>
    </w:p>
    <w:p>
      <w:r>
        <w:t>Das kantonale Gericht hat mit nachvollziehbarer Begründung dargelegt, weshalb die Arztberichte von Dr. med. C.________ und die übrigen medizinischen Akten die Gutachten des Instituts X.________ nicht in Frage zu stellen vermögen. Dabei hat die Vorinstanz die medizinischen Unterlagen eingehend gewürdigt, sich dabei ausführlich mit den Vorbringen des Beschwerdeführers auseinandergesetzt und schliesslich den Gutachten des Instituts X.________ Beweiskraft beigemessen. Mit Blick auf die in bundesrechtskonformer Beweiswürdigung (vgl. Art. 61 lit. c ATSG , BGE 125 V 351 E. 3 S. 352 ff.) getroffenen, nicht offensichtlich unrichtigen (SZS 2009 S. 133, 9C_599/2008 E. 5) und damit für das Bundesgericht verbindlichen Feststellungen ( Art. 105 Abs. 1 und 2 BGG ; BGE 133 I 149 E. 3.1 S. 153; 132 V 393 E. 3.2 S. 397 ff.) verletzt insbesondere auch der vom kantonalen Gericht gezogene Schluss, der Versicherte weise keinen für den Anspruch auf eine Rente erforderlichen Invaliditätsgrad auf, Bundesrecht nicht.</w:t>
      </w:r>
    </w:p>
    <w:p>
      <w:r>
        <w:rPr>
          <w:b/>
        </w:rPr>
        <w:t>E. 3</w:t>
      </w:r>
    </w:p>
    <w:p>
      <w:r>
        <w:t>Die Gerichtskosten werden dem unterliegenden Beschwerdeführer auferlegt ( Art. 66 Abs. 1 BGG ). Dem Gesuch um unentgeltliche Rechtspflege (im Sinne der vorläufigen Befreiung von den Gerichtskosten) kann jedoch entsprochen werden, da die Bedürftigkeit ausgewiesen ist und die Beschwerde bezüglich der Rügen betreffend den Beweiswert des Gutachtens des Instituts X.________ nicht als aussichtslos zu bezeichnen war ( Art. 64 Abs. 1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