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333/2007 vom 24. Juli 2008</w:t>
      </w:r>
    </w:p>
    <w:p>
      <w:r>
        <w:t>Bundesgericht, 2008-07-24, FR</w:t>
      </w:r>
    </w:p>
    <w:p>
      <w:r>
        <w:rPr>
          <w:b/>
        </w:rPr>
        <w:t xml:space="preserve">Quelle: </w:t>
      </w:r>
      <w:r>
        <w:t>https://mcp.opencaselaw.ch/entscheid/bger_9C_333_2007</w:t>
      </w:r>
    </w:p>
    <w:p>
      <w:r>
        <w:t>FR: TF 9C 333/2007 du 24 juillet 2008</w:t>
      </w:r>
    </w:p>
    <w:p>
      <w:r>
        <w:t>IT: TF 9C 333/2007 del 24 luglio 2008</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notamment être formé pour violation du droit fédéral ( art. 95 let. a LTF ) qui comprend les droits fondamentaux ( art. 106 al. 2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Se prévalant de l'arrêt H 113/04, le recourant soutient que la juridiction cantonale a fait preuve d'arbitraire en ne constatant pas la nullité de la décision du 29 novembre 2002 qui est entachée d'un vice particulièrement grave dans la mesure où la caisse intimée n'avait à cette époque subi aucun dommage.</w:t>
      </w:r>
    </w:p>
    <w:p>
      <w:r>
        <w:rPr>
          <w:b/>
        </w:rPr>
        <w:t>E. 2.1</w:t>
      </w:r>
    </w:p>
    <w:p>
      <w:r>
        <w:t>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conforme à l'ordre juridique, même si, en réalité, cette décision est viciée (Pierre Moor, Droit administratif, 2e éd., Berne 2002, volume II, p. 214). La nullité absolue d'une décision peut cependant être invoquée en tout temps, devant toute autorité et doit être constatée d'office ( ATF 116 Ia 215 consid. 2a p. 217, 115 Ia 1 consid. 3 p. 4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(André Griesel, Traité de droit administratif, Neuchâtel 1984, volume I, p. 420 ss). Des vices de fond n'entraînent qu'à de rares exceptions la nullité d'une décision. De graves vices de procédure, tels que l'incompétence qualifiée de l'autorité qui a rendu la décision, sont en revanche des motifs de nullité ( ATF 132 II 21 consid. 3.1 p. 27; 130 III 430 consid. 3.3 p. 434; 129 I 361 consid. 2.1 p. 363; 122 I 97 consid. 3a/aa p. 99; 118 Ia 336 consid. 2a p. 340; 116 Ia 215 consid. 2c p. 219). Le cas d'un acte administratif illégal obéit à la règle générale de l'annulabilité dès lors que la plupart des décisions viciées le sont par leur contenu, que reconnaître la nullité autrement que dans des cas tout à fait exceptionnels conduirait à une trop grande insécurité et que le développement de la juridiction administrative offrant aux administrés suffisamment de possibilités de contrôle sur le contenu des décisions, on peut attendre d'eux qu'ils fassent preuve de diligence et réagissent en temps utile (Pierre Moor, op. cit., p. 213).</w:t>
      </w:r>
    </w:p>
    <w:p>
      <w:r>
        <w:rPr>
          <w:b/>
        </w:rPr>
        <w:t>E. 2.2</w:t>
      </w:r>
    </w:p>
    <w:p>
      <w:r>
        <w:t>En l'occurrence, la sécurité du droit doit l'emporter sur la constatation de la nullité. La décision en réparation du dommage bénéficie en effet de la force de chose décidée et est par conséquent censée conforme à l'ordre juridique. On notera à cet égard que l'intéressé était en possession de tous les éléments nécessaires pour évaluer l'opportunité de s'opposer à cette décision et qu'il n'a pas jugé utile de le faire. L'arrêt H 113/04 n'y peut rien changer dans la mesure où il ne constitue qu'une nouvelle appréciation juridique d'un état de fait inchangé. Quels que soient les motifs que le recourant invoque pour justifier son inaction après coup, l'allégation de l'absence de dommage ou de la couverture de la créance par les biens de la masse démontrent en tout cas qu'il était conscient du caractère potentiellement erroné de ladite décision et qu'il a sciemment renoncé à agir. Il ne saurait de surcroît se retrancher derrière l'argument que l'unique but de la décision en question était d'interrompre la prescription, ce qui au regard de son contenu n'est manifestement pas le cas (réclamation du paiement de 270'554 fr. 60, sous déduction d'un éventuel dividende concordataire, dont 142'711 fr. 40 solidairement avec H.________). On ajoutera que le raisonnement de l'intéressé en instance fédérale porte uniquement sur le non-accomplissement d'une condition d'application de l' art. 52 al. 2 LAVS , ce qui ne saurait constituer un vice grave au sens de ce qui précède (cf. consid. 2.1). Il n'y a dès lors pas lieu de constater la nullité de la décision du 29 novembre 2002.</w:t>
      </w:r>
    </w:p>
    <w:p>
      <w:r>
        <w:rPr>
          <w:b/>
        </w:rPr>
        <w:t>E. 3</w:t>
      </w:r>
    </w:p>
    <w:p>
      <w:r>
        <w:t>Le recourant fait également grief aux premiers juges d'avoir violé l' art. 53 al. 2 LPGA - et plus l' art. 53 al. 1 LPGA comme auparavant - en niant la réalisation des conditions d'une reconsidération; selon lui, l'absence de dommage lors du prononcé de la décision du 29 novembre 2002 constituerait une erreur manifeste que l'ouverture de la faillite au 4 avril 2005 ne peut corriger; il en veut pour preuve l'annulation par le Tribunal fédéral des assurances de la même décision concernant H.________; la rectification de cette décision revêtirait aussi une importance notable du point de vue de la sécurité du droit et du principe de la bonne foi dès lors qu'elle empêcherait la juridiction cantonale de tomber dans l'arbitraire en protégeant le comportement contradictoire de la caisse intimée qui prétendait que sa décision avait pour unique but d'interrompre la prescription, mais qui s'en prévalait par la suite pour réclamer la réparation du dommage. L'intéressé reproche par la même occasion à la juridiction cantonale d'avoir violé la garantie de l'accès au juge et fait preuve d'arbitraire en admettant que la caisse intimée était entrée en matière sur la demande de reconsidération et avait rendu une nouvelle décision sur le fond, mais en limitant son propre examen aux seules conditions de la reconsidération.</w:t>
      </w:r>
    </w:p>
    <w:p>
      <w:r>
        <w:rPr>
          <w:b/>
        </w:rPr>
        <w:t>E. 3.1</w:t>
      </w:r>
    </w:p>
    <w:p>
      <w:r>
        <w:t>L' art. 53 al. 2 LPGA , codifiant la jurisprudence antérieure à son entrée en vigueur, prévoit que l'assureur peut revenir sur les décisions ou décisions sur opposition formellement passées en force lorsqu'elles sont manifestement erronées et que leur rectification revêt une importance notable ( ATF 127 V 466 consid. 2c p. 469 et les références). L'administration n'est pas tenue de reconsidérer les décisions qui remplissent les conditions fixées à l' art. 53 al. 2 LPGA , elle en a simplement la faculté; ni l'assuré ni le juge ne peuvent l'y contraindre. Les décisions refusant d'entrer en matière sur une demande de reconsidération ne peuvent en principe être portées devant l'autorité judiciaire. Cependant, si l'administration entre en matière sur une telle demande et examine si les conditions d'une reconsidération sont remplies, avant de statuer au fond par une nouvelle décision,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119 V 475 consid. 1b/cc p. 479, 117 V 8 consid. 2a p. 12 et les références). Pour juger s'il est admissible de reconsidérer une décision pour le motif qu'elle est sans nul doute erronée, il faut se fonder sur la situation juridique existant au moment où la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9C_71/2008 du 14 mars 2008 consid. 2, 9C_575/2007 du 18 octobre 2007 consid. 2.2, I 907/06 du 7 mai 2007 consid. 3.2.1, I 338/06 du 30 janvier 2007 consid. 3).</w:t>
      </w:r>
    </w:p>
    <w:p>
      <w:r>
        <w:rPr>
          <w:b/>
        </w:rPr>
        <w:t>E. 3.2</w:t>
      </w:r>
    </w:p>
    <w:p>
      <w:r>
        <w:t>En l'espèce, il n'est pas contesté que la caisse intimée est entrée en matière sur une demande de révision et a rendu une décision de refus, ni que la juridiction cantonale, qui a examiné la question à la fois sous l'angle de la révision et sous celui de la reconsidération, a restreint son examen aux conditions de ces institutions. Cette façon de faire ne viole pas la garantie de l'accès au juge (sur cette notion, cf. art. 29a Cst. ; ATF 130 I 312 consid. 3.1 p. 323). En effet, le 29 no-vembre 2002, la caisse intimée a constaté que le recourant était responsable d'un dommage de 270'554 fr. 60, sous déduction d'un éventuel dividende concordataire, dont 142'711 fr. 40 solidairement avec H.________. Cette question aurait pu faire l'objet d'une opposition puis d'un recours auprès des instances cantonale et fédérale. Un tel recours aurait permis d'obtenir un jugement sur le fond. En l'espèce, les premiers juges ont constaté que la caisse intimée était entrée en matière sur la demande de révision et avait rendu une décision de refus. Cela ne signifie pas que ladite caisse a une nouvelle fois examiné si le recourant était responsable du dommage en 2002, mais qu'elle a examiné si les conditions d'une révision étaient données. Il est donc normal que la juridiction de recours limite son examen aux conditions de la révision qu'elle a en l'occurrence étendu à celles de la reconsidération. On ajoutera que la décision n'est pas manifestement erronée et n'est en tout cas pas apparue comme telle aux premiers juges. S'il est vrai que des informations fournies téléphoniquement par le liquidateur peuvent paraître légères pour justifier le moment de la connaissance du dommage, il n'en demeure pas moins qu'elles pouvaient sembler suffisantes aux yeux de la caisse intimée dès lors que la jurisprudence fait partir le délai de prescription du droit d'exiger la réparation du dommage au «moment où la caisse aurait dû se rendre compte, en faisant preuve de l'attention raisonnablement exigible, qu'elle allait en subir un» ( ATF 128 V 15 consid. 2c p. 17, 126 V 443 consid. 3a p. 444, 450 consid. 2a p. 452, 121 III 381 consid. 3b p. 388 et les références). On relèvera aussi que le liquidateur a par la suite régulièrement confirmé ses propos, en se montrant même de plus en plus pessimiste (rapports et correspondance du liquidateur des 27 février et 4 septembre 2003 ainsi que 2 novembre 2004), ce qui s'est du reste confirmé par l'ouverture de la faillite en 2005. On notera finalement que le Tribunal fédéral ne s'était alors pas encore exprimé sur les relations entre la survenance d'un dommage et le prononcé d'un sursis concordataire ainsi que l'homologation d'un concordat. La décision du 29 novembre 2002 ne paraît ainsi pas manifestement erronée.</w:t>
      </w:r>
    </w:p>
    <w:p>
      <w:r>
        <w:rPr>
          <w:b/>
        </w:rPr>
        <w:t>E. 4</w:t>
      </w:r>
    </w:p>
    <w:p>
      <w:r>
        <w:t>Enfin, contrairement à ce que soutient le recourant, le fait de ne pas tenir compte des considérants de l'arrêt H 113/04 ne constitue pas une violation du principe de l'égalité de traitement (sur cette notion, cf. notamment, ATF 131 V 107 consid. 3.4.2 p. 114 et les références) dans la mesure où, si les deux administrateurs se sont bel et bien vu notifier une décision en réparation du dommage pour des cotisations sociales impayées partiellement identiques, l'un d'eux s'y est opposé et a suivi le cours ordinaire des voies de droit, tandis que le second a invoqué des moyens extraordinaires beaucoup plus restrictifs qui, comme on l'a vu (cf. consid. 2 et 3), peuvent justifier un traitement différencié de situations initialement identiques. On ajoutera qu'il n'y pas lieu de revenir sur la question de la responsabilité au sens de l' art. 52 LAVS dès lors que les conditions pour constater la nullité ou reconsidérer la décision du 29 novembre 2002 font défaut. Le recours est donc en tous points mal fondé.</w:t>
      </w:r>
    </w:p>
    <w:p>
      <w:r>
        <w:rPr>
          <w:b/>
        </w:rPr>
        <w:t>E. 5</w:t>
      </w:r>
    </w:p>
    <w:p>
      <w:r>
        <w:t>La procédure est onéreuse ( art. 62 LTF ). L'intéressé, qui succombe, doit en supporter les frais ( art. 66 al. 1 LTF ) et ne saurait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