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331/2025 vom 6. August 2025</w:t>
      </w:r>
    </w:p>
    <w:p>
      <w:r>
        <w:t>Bundesgericht, 2025-08-06, IT</w:t>
      </w:r>
    </w:p>
    <w:p>
      <w:r>
        <w:rPr>
          <w:b/>
        </w:rPr>
        <w:t xml:space="preserve">Quelle: </w:t>
      </w:r>
      <w:r>
        <w:t>https://mcp.opencaselaw.ch/entscheid/bger_9C_331_2025</w:t>
      </w:r>
    </w:p>
    <w:p>
      <w:r>
        <w:t>FR: TF 9C 331/2025 du 6 août 2025</w:t>
      </w:r>
    </w:p>
    <w:p>
      <w:r>
        <w:t>IT: TF 9C 331/2025 del 6 agosto 2025</w:t>
      </w:r>
    </w:p>
    <w:p>
      <w:pPr>
        <w:pStyle w:val="Heading2"/>
      </w:pPr>
      <w:r>
        <w:t>Regeste</w:t>
      </w:r>
    </w:p>
    <w:p>
      <w:r>
        <w:t>Imposta di successione del Cantone Ticino, domanda di condono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sia la sua competenza ( art. 29 cpv. 1 LTF ) che l'ammissibilità dei rimedio proposto ( DTF 149 II 76 consid. 1). Quando il rispetto delle condizioni di ammissibilità del ricorso non è manifesto, spetta a chi lo ha redatto dimostrarlo ( art. 42 cpv. 2 LTF ; DTF 140 II 539 consid. 1.1).</w:t>
      </w:r>
    </w:p>
    <w:p>
      <w:r>
        <w:rPr>
          <w:b/>
        </w:rPr>
        <w:t>E. 1.2</w:t>
      </w:r>
    </w:p>
    <w:p>
      <w:r>
        <w:t>Giusta l'art. 83 lett. m LTF il ricorso in materia di diritto pubblico contro le decisioni concernenti il condono o la dilazione del pagamento di tributi è inammissibile. In deroga a questa regola, il ricorso è ammissibile contro le decisioni concernenti il condono dell'imposta federale diretta o dell'imposta cantonale o comunale sul reddito e sull'utile se concerne una questione di diritto di importanza fondamentale o se si tratta per altri motivi di un caso particolarmente importante. La richiesta di condono oggetto di ricorso non riguarda né l'imposta federale diretta né l'imposta cantonale o comunale sul reddito e sull'utile, per le quali è stata prevista l'eccezione alla regola, bensì l'imposta cantonale di successione. A prescindere dall'esistenza di una questione d'importanza fondamentale o di un caso particolarmente importante, il ricorso in materia di diritto pubblico è pertanto inammissibile e va verificata l'esistenza delle condizioni per trattare il gravame come ricorso sussidiario in materia costituzionale (art. 113 segg. LTF; DTF 149 II 462 consid. 1.2.2; sentenza 9C_388/2024 del 18 settembre 2024 consid. 1.2).</w:t>
      </w:r>
    </w:p>
    <w:p>
      <w:r>
        <w:rPr>
          <w:b/>
        </w:rPr>
        <w:t>E. 1.3</w:t>
      </w:r>
    </w:p>
    <w:p>
      <w:r>
        <w:t>La sentenza querelata è una decisione finale ( art. 90 e 117 LTF ) che è stata pronunciata da un'autorità giudiziaria cantonale di ultima istanza ( art. 86 e 114 LTF ) e che è stata impugnata nei termini ( art. 100 cpv. 1 e art. 117 LTF ). Per potere esaminare il gravame come ricorso sussidiario in materia costituzionale, occorre però che l'insorgente disponga della necessaria legittimazione.</w:t>
      </w:r>
    </w:p>
    <w:p>
      <w:r>
        <w:rPr>
          <w:b/>
        </w:rPr>
        <w:t>E. 1.3.1</w:t>
      </w:r>
    </w:p>
    <w:p>
      <w:r>
        <w:t>Secondo l' art. 115 LTF sono legittimate a presentare un ricorso sussidiario in materia costituzionale le persone che hanno partecipato alla procedura davanti all'autorità inferiore o alle quali non è stata data la possibilità di farlo (lett. a) e che hanno un interesse attuale all'annullamento o alla modifica della decisione impugnata (lett. b). Non basta un interesse attuale di fatto; ci vuole un interesse giuridico ( DTF 137 II 305 consid. 2). Nella fattispecie, un simile interesse è dato se la legge riconosce un diritto al condono; la critica secondo cui una norma è stata interpretata o applicata in modo arbitrario, formulata in un caso in cui il diritto al condono non è dato, non è sufficiente ( DTF 149 I 72 consid. 3.1; sentenze 9D_2/2025 e 9D_3/2025 del 13 maggio 2025 consid. 2.3.2; 9D_1/2025 del 27 gennaio 2025 consid. 2.2.2).</w:t>
      </w:r>
    </w:p>
    <w:p>
      <w:r>
        <w:rPr>
          <w:b/>
        </w:rPr>
        <w:t>E. 1.3.2</w:t>
      </w:r>
    </w:p>
    <w:p>
      <w:r>
        <w:t>Ora, dalla sentenza impugnata risulta che le autorità amministrative e giudiziarie ticinesi hanno trattato la domanda di condono della ricorrente in base all' art. 167 LIFD (RS 642.11), applicato per analogia all'imposta cantonale di successione (giudizio impugnato, pag. 3 segg.). Per giurisprudenza constante, l' art. 167 LIFD non riconosce però nessun diritto al condono (sentenze 2D_45/2020 del 10 giugno 2021 consid. 2.2.2; 2D_20/2020 del 25 maggio 2020 consid. 2.2). Chiamata a dimostrare il rispetto delle condizioni di ammissibilità del ricorso che non sono manifeste, l'insorgente non fornisce nemmeno informazioni ulteriori, perché si limita a indicare di essere "senz'altro legittimata ad interporre ricorso ai sensi dell'art. 82 lett. a Legge sul Tribunale federale (...) ritenuto come la decisione è stata pronunciata in una causa di diritto pubblico", quindi ad aggiungere che l'impugnativa "soddisfa pure i criteri del ricorso costituzionale ai sensi dell'art. 113 e ss. LTF" e il fatto che il ricorso contenga anche censure relative all'interpretazione o all'applicazione arbitraria del diritto cantonale non è sufficiente (precedenti consid. 1.1. e 1.3.1). Di conseguenza, la legittimazione a ricorrere nel merito non può essere riconosciuta.</w:t>
      </w:r>
    </w:p>
    <w:p>
      <w:r>
        <w:rPr>
          <w:b/>
        </w:rPr>
        <w:t>E. 1.4</w:t>
      </w:r>
    </w:p>
    <w:p>
      <w:r>
        <w:t>Quando manca la legittimazione a ricorrere nel merito, resta lecito fare valere la disattenzione dei diritti di parte, la cui lesione costituisce un diniego di giustizia formale (cosiddetta "Star-Praxis"; DTF 149 I 72 consid. 3.1). La presentazione di critiche che non possono essere esaminate senza trattare direttamente o indirettamente il merito della vertenza è tuttavia esclusa ( DTF 146 IV 76 consid. 2; sentenza 9D_1/2025, citata, consid. 2.2.3). Anche questa giurisprudenza non giova alla ricorrente. Per quanto non siano solo abbozzate - in contrasto con l'art. 106 cpv. 2 in relazione con l' art. 117 LTF , che richiedono una motivazione precisa - tutte le critiche presentate, comprese quelle di natura formale, sono infatti indissolubilmente legate al diniego del condono. Una parte di esse è inoltre rivolta contro l'agire delle autorità amministrative ed esecutive, non contro quello della Corte cantonale, che è l'unico possibile oggetto di censura (sentenza 9C_110/2025 del 10 giugno 2025 consid. 1.4). Non sono quindi date nemmeno le condizioni per riconoscere la legittimazione a ricorrere per motivi formali.</w:t>
      </w:r>
    </w:p>
    <w:p>
      <w:r>
        <w:rPr>
          <w:b/>
        </w:rPr>
        <w:t>E. 2.1</w:t>
      </w:r>
    </w:p>
    <w:p>
      <w:r>
        <w:t>Per quanto precede, sia quale ricorso ordinario in materia di diritto pubblico che quale ricorso sussidiario in materia costituzionale l'impugnativa dev'essere dichiarata inammissibile.</w:t>
      </w:r>
    </w:p>
    <w:p>
      <w:r>
        <w:rPr>
          <w:b/>
        </w:rPr>
        <w:t>E. 2.2</w:t>
      </w:r>
    </w:p>
    <w:p>
      <w:r>
        <w:t>Le spese giudiziarie seguono la soccombenza ( art. 66 cpv. 1 LTF ). Non sono dovute ripetibili ( art. 68 cpv. 3 LTF ).</w:t>
      </w:r>
    </w:p>
    <w:p>
      <w:r>
        <w:rPr>
          <w:b/>
        </w:rPr>
        <w:t>E. 2.3</w:t>
      </w:r>
    </w:p>
    <w:p>
      <w:r>
        <w:t>Con l'emanazione di questa sentenza, la domanda di conferimento dell'effetto sospensivo al gravame diviene priva di oggetto.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