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32/2012 vom 23. Januar 2013</w:t>
      </w:r>
    </w:p>
    <w:p>
      <w:r>
        <w:t>Bundesgericht, 2013-01-23, DE</w:t>
      </w:r>
    </w:p>
    <w:p>
      <w:r>
        <w:rPr>
          <w:b/>
        </w:rPr>
        <w:t xml:space="preserve">Quelle: </w:t>
      </w:r>
      <w:r>
        <w:t>https://mcp.opencaselaw.ch/entscheid/bger_9C_32_2012</w:t>
      </w:r>
    </w:p>
    <w:p>
      <w:r>
        <w:t>FR: TF 9C 32/2012 du 23 janvier 2013</w:t>
      </w:r>
    </w:p>
    <w:p>
      <w:r>
        <w:t>IT: TF 9C 32/2012 del 23 gennaio 2013</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[SR 830.1] in Verbindung mit Art. 28a Abs. 1 IVG ; BGE 130 V 343 E. 3.4 S. 348; 128 V 29 E. 1 S. 30; 104 V 135 E. 2a und b S. 136) sowie die Revision von Invalidenrenten bei wesentlicher Änderung in den tatsächlichen Verhältnissen ( Art. 17 Abs. 1 ATSG in Verbindung mit Art. 1 Abs. 1 IVG ; BGE 134 V 131 E. 3 S. 132; 130 V 343 E. 3.5 S. 349) und den diesbezüglichen zeitlichen Referenzpunkt ( BGE 133 V 108 ; SVR 2010 IV Nr. 4 S. 7, 9C_46/2009 E. 3.1; Urteil 9C_771/2009 vom 10. September 2010 E. 2.2), zutreffend dargelegt. Hierauf wird verwiesen. Zu ergänzen ist, dass es nach dem Grundsatz der materiellen Beweislast beim bisherigen Rechtszustand bleibt, wenn sich eine anspruchserhebliche Änderung des Sachverhalts nicht mit überwiegender Wahrscheinlichkeit nachweisen lässt (SVR 2012 IV Nr. 18 S. 81, 9C_418/2010 E. 3.1; vgl. SVR 2010 IV Nr. 30 S. 94, 9C_961/2008 E. 6.3).</w:t>
      </w:r>
    </w:p>
    <w:p>
      <w:r>
        <w:rPr>
          <w:b/>
        </w:rPr>
        <w:t>E. 3</w:t>
      </w:r>
    </w:p>
    <w:p>
      <w:r>
        <w:t>Das kantonale Gericht stützte seine Feststellung, wonach zwischen der rentenbestätigenden Mitteilung vom 29. November 2005 und der streitigen Aufhebungsverfügung vom 11. Februar 2011 eine relevante gesundheitliche Verbesserung eingetreten und nunmehr von einer uneingeschränkten Arbeitsfähigkeit als Pflegehelferin auszugehen sei, auf das psychiatrische Gutachten Dr. D.________s vom 22. Dezember 2009. Darin wurde ein Status nach Neurasthenie bei multiplen Anforderungen beruflicher und ebenso privater Natur diagnostiziert sowie eine Überforderung durch die Doppelbelastung Arbeitsplatz/Haushaltführung und darauf zurückzuführende Störungen mit teilweise psychischen Symptomen (Chronic Fatigue Syndrome) bescheinigt (differentialdiagnostisch: Anpassungsstörung mit Angst und Depression gemischt; leicht depressives Zustandsbild). Anhaltspunkte für eine schwerwiegende und andauernde psychische Erkrankung, welche eine längerfristige Berufs- und Arbeitsunfähigkeit begründen könnte, lägen nicht vor; belastend sei allenfalls eine Überforderung im Rahmen der schon früher eingeschränkten somato-psychischen Konstitution wie auch der Gesamtsituation. Invaliditätsfremde Gründe (Haushalt mit zwei Kindern neben der Erwerbstätigkeit) würden die Umsetzung der medizinisch-theoretisch vorhandenen Arbeitsfähigkeit erschweren. Als Grundlage für die seinerzeitige Rentenbestätigung vom 29. November 2005 dienten der IV-Stelle die ärztlichen Berichte von Dr. R.________, Spezialistin für Physikalische Medizin, vom 22. August 2005 sowie des seit Februar 2003 engmaschig behandelnden Psychiaters Dr. B.________ vom 13. November 2005. Während Erstere eine nach wie vor hälftige Arbeitsunfähigkeit bei schwerer depressiver Entwicklung, chronischem Panvertebralsyndrom und beginnendem Fibromyalgiesyndrom bescheinigte, diagnostizierte Letzterer rezidivierende depressive Episoden mit phobischen Ängsten und Panikattacken und attestierte eine (seines Erachtens ebenfalls seit der Rentenzusprechung unveränderte) Leistungseinschränkung als Pflegehelferin von 50 %. Mit medikamentöser und psychotherapeutischer Behandlung seien die Beschwerden (begrenzte Belastbarkeit zufolge rascher Erschöpfbarkeit bei Zukunftsängsten, ängstlich-phobischem Vermeidungsverhalten, zeitweisen Panikanfällen und Schlafstörungen) angegangen worden und habe die verbliebene hälftige Restarbeitsfähigkeit dauerhaft stabil gehalten werden können, trotz (kurzem) stationären Aufenthalt im Sanatorium Z.________ (dort erhobene Diagnose: Angst und depressive Störung gemischt).</w:t>
      </w:r>
    </w:p>
    <w:p>
      <w:r>
        <w:rPr>
          <w:b/>
        </w:rPr>
        <w:t>E. 4</w:t>
      </w:r>
    </w:p>
    <w:p>
      <w:r>
        <w:t>Nach Auffassung der Vorinstanz entspricht das psychiatrische Gutachten Dr. D.________s den von der Rechtsprechung entwickelten beweisrechtlichen Anforderungen, indem es auf den erforderlichen allseitigen Untersuchungen beruhe, das Verhalten der Versicherten berücksichtige, in Kenntnis und in Auseinandersetzung mit den Vorakten erstellt worden sei und die Schlussfolgerungen des Experten in nachvollziehbarer Weise begründe. Dem wäre allenfalls beizupflichten, wenn es hier um eine erstmalige Beurteilung der Rentenberechtigung ginge. Im vorliegenden Rahmen eines Rentenrevisionsverfahrens bildet indessen die Frage nach einer erheblichen Veränderung des Gesundheitszustandes und der entsprechenden funktionellen Auswirkungen spezifisches Beweisthema. Denn die bloss unterschiedliche medizinische Einschätzung eines im Wesentlichen unverändert gebliebenen Sachverhalts führt nicht zu einer materiellen Revision ( BGE 115 V 308 E. 4a/bb S. 313; SVR 2012 IV Nr. 18 S. 81, 9C_418/2010 E. 4.1). Ob die vorinstanzliche Beweiswürdigung den bei Revisionsverfügungen zu beachtenden beweisrechtlichen Vorgaben genügt, ist letztinstanzlich frei überprüfbar (SVR, a.a.O., E. 5.1). Unter vorstehendem Blickwinkel mangelt es Dr. D.________s spezialärztlicher Expertise am rechtlich erforderlichen Beweiswert, mag sie für sich allein betrachtet auch vollständig, nachvollziehbar und schlüssig sein. Entscheidend ist, dass der Gutachter einzig die Befunderhebung durch sämtliche früher untersuchenden und behandelnden Ärzte sowie deren einhellige Bescheinigung einer hälftigen Arbeitsunfähigkeit im angestammten Beruf kritisch hinterfragt und ihnen seine eigene Einschätzung (vgl. E. 3 hievor) gegenüberstellt und begründet. Der Eintritt einer revisionsrelevanten gesundheitlichen Verbesserung zwischen November 2005 (Abschluss des ersten Revisionsverfahrens) und Februar 2011 (Rentenaufhebungsverfügung) wird hingegen in keiner Weise dargetan. Vielmehr führt Dr. D.________ unter Hinweis auf alle früheren ärztlichen Stellungnahmen (mit welchen der erwähnte Verlaufsbericht des nunmehr behandelnden Psychiaters med. pract. W.________ übereinstimmt) selber aus, "auch heute noch" stelle die rasche Erschöpfbarkeit das zentrale Problem dar: "Beruflich ist resp. war die Versicherte wahrscheinlich im Rahmen des Anforderungsprofils am Arbeitsort überfordert"; ihre Ressourcen scheinen "von Jugend an" den vielfältigen Belastungen durch Arbeit und Familie nicht genügt zu haben. Ist nach dem Gesagten eine zwischenzeitlich tatsächlich eingetretene anspruchserhebliche Änderung des medizinischen Sachverhalts mit überwiegender Wahrscheinlichkeit zu verneinen, besteht über März 2011 hinaus weiterhin Anspruch auf die bisher bezogene halbe Invalidenrente.</w:t>
      </w:r>
    </w:p>
    <w:p>
      <w:r>
        <w:rPr>
          <w:b/>
        </w:rPr>
        <w:t>E. 5</w:t>
      </w:r>
    </w:p>
    <w:p>
      <w:r>
        <w:t>Ausgangsgemäss trägt die IV-Stelle die Gerichtskosten ( Art. 66 Abs. 1 BGG ); überdies hat sie der Beschwerdeführerin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