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329/2021 vom 2. Juli 2021</w:t>
      </w:r>
    </w:p>
    <w:p>
      <w:r>
        <w:t>Bundesgericht, 2021-07-02, DE</w:t>
      </w:r>
    </w:p>
    <w:p>
      <w:r>
        <w:rPr>
          <w:b/>
        </w:rPr>
        <w:t xml:space="preserve">Quelle: </w:t>
      </w:r>
      <w:r>
        <w:t>https://mcp.opencaselaw.ch/entscheid/bger_9C_329_2021</w:t>
      </w:r>
    </w:p>
    <w:p>
      <w:r>
        <w:t>FR: TF 9C 329/2021 du 2 juillet 2021</w:t>
      </w:r>
    </w:p>
    <w:p>
      <w:r>
        <w:t>IT: TF 9C 329/2021 del 2 luglio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02.07.2021 9C 329/2021 (9C_329/2021) Tribunal fédéral IVe Cour de droit public (IIe Cour de droit social) 02.07.2021 9C 329/2021 (9C_329/2021) Tribunale federale IV Corte di diritto pubblico (II Corte di diritto sociale) 02.07.2021 9C 329/2021 (9C_329/2021)</w:t>
      </w:r>
    </w:p>
    <w:p>
      <w:r>
        <w:t>Alters- und Hinterlassenenversicherung | Alters- und Hinterlassenenversicherung</w:t>
      </w:r>
    </w:p>
    <w:p>
      <w:r>
        <w:t>Bundesgericht Tribunal fédéral Tribunale federale Tribunal federal 9C_329/2021 Urteil vom 2. Juli 2021 II. sozialrechtliche Abteilung Besetzung Bundesrichter Parrino, Präsident, Gerichtsschreiberin Dormann. Verfahrensbeteiligte A.________, allenfalls vertreten durch B.________, Beschwerdeführer, gegen Ausgleichskasse des Kantons Aargau, Kyburgerstrasse 15, 5000 Aarau, Beschwerdegegnerin. Gegenstand Alters- und Hinterlassenenversicherung, Beschwerde gegen das Urteil des Versicherungsgerichts des Kantons Aargau vom 5. Mai 2021 (VBE.2021.4). Nach Einsicht in die Beschwerde vom 7. Juni 2021 (Poststempel) gegen das Urteil des Versicherungsgerichts des Kantons Aargau vom 5. Mai 2021, in die Verfügung des Bundesgerichts vom 9. Juni 2021, womit A.________ resp. sein allfälliger Rechtsvertreter aufgefordert wurde, die fehlende Vollmacht bis zum 28. Juni 2021 einzureichen, ansonsten die Rechtsschrift unbeachtet bleibe, und gleichzeitig auf die gesetzlichen Formerfordernisse von Beschwerden hinsichtlich Begehren und Begründung hingewiesen worden ist, in die daraufhin am 14. Juni 2021 eingereichte Eingabe, in Erwägung, dass sich die Parteivertreter und -vertreterinnen durch eine Vollmacht auszuweisen haben ( Art. 40 Abs. 2 BGG ), das innert der nach Art. 42 Abs. 5 BGG angesetzten Frist keine Vollmacht eingereicht wurde und weder ersichtlich ist noch begründet wird, weshalb zu deren Beibringung eine "2. Nachfrist" angesetzt werden müsste, dass sodann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und 133 V 286 E. 1.4), während rein appellatorische Kritik nicht genügt ( BGE 145 I 26 E. 1.3; 140 III 264 E. 2.3), und in Bezug auf die Verletzung von Grundrechten erhöhte Anforderungen an die Begründungspflicht bestehen ( Art. 106 Abs. 2 BGG ; BGE 136 I 49 E. 1.4.1), dass der Beschwerdeführer resp. sein allfälliger Rechtsvertreter lediglich in appellatorischer Weise eine "neue rechtliche Überprüfung durch das Bundesgericht" verlangt und die Höhe des Verzugszinssatzes (vgl. dazu Art. 42 Abs. 2 AHVV [SR 831.101]) kritisiert, auch wenn er dabei Grundrechte anruft und der Vorinstanz teilweise fehlende rechtliche Würdigung vorwirft, dass die beiden Eingaben somit den inhaltlichen Mindestanforderungen offensichtlich nicht genügen, da ihnen auch nicht ansatzweise entnommen werden kann, inwiefern die vorinstanzliche Beweiswürdigung und Sachverhaltsfeststellung im Sinne von Art. 97 Abs. 1 BGG auf einer Rechtsverletzung beruhen oder qualifiziert unzutreffend (unhaltbar, willkürlich: BGE 135 II 145 E. 8.1; Urteil 9C_607/2012 vom 17. April 2013 E. 5.2) oder die darauf beruhenden Erwägungen rechtsfehlerhaft (vgl. Art. 95 BGG ) sein sollen, dass deshalb im vereinfachten Verfahren nach Art. 108 Abs. 1 lit. a und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Aargau, 4. Kammer, und dem Bundesamt für Sozialversicherungen schriftlich mitgeteilt. Luzern, 2. Juli 2021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