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9C_328/2018 vom 30. Mai 2018</w:t>
      </w:r>
    </w:p>
    <w:p>
      <w:r>
        <w:t>Bundesgericht, 2018-05-30, DE</w:t>
      </w:r>
    </w:p>
    <w:p>
      <w:r>
        <w:rPr>
          <w:b/>
        </w:rPr>
        <w:t xml:space="preserve">Quelle: </w:t>
      </w:r>
      <w:r>
        <w:t>https://mcp.opencaselaw.ch/entscheid/bger_9C_328_2018</w:t>
      </w:r>
    </w:p>
    <w:p>
      <w:r>
        <w:t>FR: TF 9C_328/2018 du 30 mai 2018</w:t>
      </w:r>
    </w:p>
    <w:p>
      <w:r>
        <w:t>IT: TF 9C_328/2018 del 30 maggio 2018</w:t>
      </w:r>
    </w:p>
    <w:p>
      <w:pPr>
        <w:pStyle w:val="Heading2"/>
      </w:pPr>
      <w:r>
        <w:t>Volltext</w:t>
      </w:r>
    </w:p>
    <w:p>
      <w:r>
        <w:t>Bundesgericht</w:t>
      </w:r>
    </w:p>
    <w:p>
      <w:r>
        <w:t>Tribunal fédéral</w:t>
      </w:r>
    </w:p>
    <w:p>
      <w:r>
        <w:t>Tribunale federale</w:t>
      </w:r>
    </w:p>
    <w:p>
      <w:r>
        <w:t>Tribunal federal</w:t>
      </w:r>
    </w:p>
    <w:p>
      <w:r>
        <w:t>9C_328/2018</w:t>
      </w:r>
    </w:p>
    <w:p>
      <w:r>
        <w:t>Urteil vom 30. Mai 2018</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Helsana Versicherungen AG, Recht &amp; Compliance, Postfach, 8081 Zürich,</w:t>
      </w:r>
    </w:p>
    <w:p>
      <w:r>
        <w:t>Beschwerdegegnerin,</w:t>
      </w:r>
    </w:p>
    <w:p>
      <w:r>
        <w:t>Arcosana AG, Tribschenstrasse 21, 6002 Luzern.</w:t>
      </w:r>
    </w:p>
    <w:p>
      <w:r>
        <w:t>Gegenstand</w:t>
      </w:r>
    </w:p>
    <w:p>
      <w:r>
        <w:t>Krankenversicherung,</w:t>
      </w:r>
    </w:p>
    <w:p>
      <w:r>
        <w:t>Beschwerde gegen den Entscheid des Verwaltungsgerichts des Kantons Bern vom 14. März 2018 (200 17 764 KV).</w:t>
      </w:r>
    </w:p>
    <w:p>
      <w:r>
        <w:t>Nach Einsicht</w:t>
      </w:r>
    </w:p>
    <w:p>
      <w:r>
        <w:t>in die am 8. Mai 2018 (Übergabedatum an die Schweizerische Post) verbesserte Beschwerde vom 3. Mai 2018 (elektronische Eingabe) gegen den Entscheid des Verwaltungsgerichts des Kantons Bern vom 14. März 2018 betreffend Prämienforderungen,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darüber hinaus in Bezug auf die Verletzung von Grundrechten erhöhte Anforderungen an die Begründungspflicht bestehen ( Art. 106 Abs. 2 BGG ; BGE 136 I 49 E. 1.4.1 S. 53),</w:t>
      </w:r>
    </w:p>
    <w:p>
      <w:r>
        <w:t>dass das kantonale Gericht einlässlich dargelegt hat, weshalb zwischen November 2014 und Oktober 2016 ein die obligatorische Krankenpflegeversicherung betreffendes Versicherungsverhältnis zwischen der Beschwerdegegnerin und der Beschwerdeführerin bestanden hat und Letztere für diesen Zeitraum Prämien, Zinsen, Mahnkosten und Bearbeitungsgebühren in der Gesamthöhe von Fr. 10'898.30 schuldet,</w:t>
      </w:r>
    </w:p>
    <w:p>
      <w:r>
        <w:t>dass sich sämtliche Vorbringen, soweit verständlich und sachbezogen, auf die Behauptung beschränken, ein Versicherungsverhältnis zwischen der Beschwerdegegnerin und der Beschwerdeführerin sei nicht zustande gekommen,</w:t>
      </w:r>
    </w:p>
    <w:p>
      <w:r>
        <w:t>dass die Eingaben der Beschwerdeführerin folglich den beschriebenen inhaltlichen Mindestanforderungen klar erkennbar nicht genügen, weil ihnen nichts entnommen werden kann, was darauf hindeutete, dass und inwiefern die Sachverhaltsfeststellung im Sinne von Art. 97 Abs. 1 BGG qualifiziert unzutreffend ( unhaltbar, willkürlich; BGE 140 V 22 E. 7.3.1 S. 39; 135 II 145 E. 8.1 S. 153) oder die darauf beruhenden Erwägungen rechtsfehlerhaft sein - insbesondere die angerufenen Normen der EMRK, des IPBPR (Internationaler Pakt über bürgerliche und politische Rechte, SR 0.103.2) und der BV verletzen - sollten,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Arcosana AG, dem Verwaltungsgericht des Kantons Bern, dem Bundesamt für Gesundheit und der Staatsanwaltschaft Winterthur/Unterland schriftlich mitgeteilt.</w:t>
      </w:r>
    </w:p>
    <w:p>
      <w:r>
        <w:t>Luzern, 30. Mai 2018</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