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328/2015 vom 23. September 2015</w:t>
      </w:r>
    </w:p>
    <w:p>
      <w:r>
        <w:t>Bundesgericht, 2015-09-23, DE</w:t>
      </w:r>
    </w:p>
    <w:p>
      <w:r>
        <w:rPr>
          <w:b/>
        </w:rPr>
        <w:t xml:space="preserve">Quelle: </w:t>
      </w:r>
      <w:r>
        <w:t>https://mcp.opencaselaw.ch/entscheid/bger_9C_328_2015</w:t>
      </w:r>
    </w:p>
    <w:p>
      <w:r>
        <w:t>FR: TF 9C 328/2015 du 23 septembre 2015</w:t>
      </w:r>
    </w:p>
    <w:p>
      <w:r>
        <w:t>IT: TF 9C 328/2015 del 23 settembre 2015</w:t>
      </w:r>
    </w:p>
    <w:p>
      <w:pPr>
        <w:pStyle w:val="Heading2"/>
      </w:pPr>
      <w:r>
        <w:t>Regeste</w:t>
      </w:r>
    </w:p>
    <w:p>
      <w:r>
        <w:t>Alters- und Hinterlassenenversicherung (Altersrente; Rückerstattung) | Alters- und Hinterlassenenversicherung</w:t>
      </w:r>
    </w:p>
    <w:p>
      <w:pPr>
        <w:pStyle w:val="Heading2"/>
      </w:pPr>
      <w:r>
        <w:t>Erwägungen</w:t>
      </w:r>
    </w:p>
    <w:p>
      <w:r>
        <w:rPr>
          <w:b/>
        </w:rPr>
        <w:t>E. 1</w:t>
      </w:r>
    </w:p>
    <w:p>
      <w:r>
        <w:t>Letztinstanzlich ist unter den Verfahrensbeteiligten zu Recht unbestritten, dass die zu Unrecht bezogenen Differenzbetreffnisse von insgesamt Fr. 19'504.- unabhängig von einem Verschulden des Beschwerdeführers grundsätzlich zurückzuerstatten sind (Art. 25 Abs. 1 erster Satz ATSG [SR 830.1]; vgl. BGE 122 V 134 ). Streitig ist hingegen, ob der Rückforderungsanspruch der Verwaltung verwirkt ist.</w:t>
      </w:r>
    </w:p>
    <w:p>
      <w:r>
        <w:rPr>
          <w:b/>
        </w:rPr>
        <w:t>E. 2</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139 V 6 E. 2 S. 7; 138 V 74 E. 4.1 S. 77 mit Hinweisen). Das kantonale Gericht hat die Rechtsprechung richtig wiedergegeben, wonach mit Bezug auf den Beginn der einjährigen relativen Verwirkungsfrist nicht die tatsächliche, sondern die zumutbare Kenntnis des zur Rückforderung Anlass gebenden Sachverhalts massgebend ist. Fristauslösend ist allerdings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 BGE 139 V 570 E. 3.1 S. 572; 124 V 380 E. 1 S. 382 f.; 122 V 270 E. 5b/aa S. 275; 110 V 304 E. 2b in fine S. 306 f.; Urteil 9C_585/2014 vom 8. September 2015 E. 4.1.2).</w:t>
      </w:r>
    </w:p>
    <w:p>
      <w:r>
        <w:rPr>
          <w:b/>
        </w:rPr>
        <w:t>E. 3</w:t>
      </w:r>
    </w:p>
    <w:p>
      <w:r>
        <w:t>Im Weitern hat die Vorinstanz zutreffend erkannt, dass die hievor angeführte einjährige relative Verwirkungsfrist gemäss Art. 25 Abs. 2 ATSG im Juli 2013 ausgelöst wurde, als die Ausgleichskasse auf Betreiben des BSV hin den Zivilstand des Beschwerdeführers überprüfte. Erst zu diesem Zeitpunkt musste sie sich über ihren - von keiner Seite bestrittenen - ursprünglichen Verwaltungsfehler Rechenschaft geben, welcher darin bestand, dass sie nach Eingang des Scheidungsurteils zwar das sog. Einkommens-Splitting durchführte (Abschluss Anfang Dezember 2009), aus Versehen aber die diesbezügliche Neuberechnung der Altersrente wie auch die Anpassung des Zivilstandes des Versicherten unterliess. An dieser Betrachtungsweise ändert der Einwand des Beschwerdeführers nichts, wonach er selber Ende August und seine geschiedene Frau Anfang September 2009 die Ehescheidung mitgeteilt hätten. Nach dem Gesagten erging die - in betraglicher Hinsicht unbestrittene - Rückerstattungsverfügung vom 27. August 2013 rechtzeitig.</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