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9C_325/2018 vom 29. Juni 2018</w:t>
      </w:r>
    </w:p>
    <w:p>
      <w:r>
        <w:t>Bundesgericht, 2018-06-29, DE</w:t>
      </w:r>
    </w:p>
    <w:p>
      <w:r>
        <w:rPr>
          <w:b/>
        </w:rPr>
        <w:t xml:space="preserve">Quelle: </w:t>
      </w:r>
      <w:r>
        <w:t>https://mcp.opencaselaw.ch/entscheid/bger_9C_325_2018</w:t>
      </w:r>
    </w:p>
    <w:p>
      <w:r>
        <w:t>FR: TF 9C_325/2018 du 29 juin 2018</w:t>
      </w:r>
    </w:p>
    <w:p>
      <w:r>
        <w:t>IT: TF 9C_325/2018 del 29 giugno 2018</w:t>
      </w:r>
    </w:p>
    <w:p>
      <w:pPr>
        <w:pStyle w:val="Heading2"/>
      </w:pPr>
      <w:r>
        <w:t>Erwägungen</w:t>
      </w:r>
    </w:p>
    <w:p>
      <w:r>
        <w:rPr>
          <w:b/>
        </w:rPr>
        <w:t>E. 1</w:t>
      </w:r>
    </w:p>
    <w:p>
      <w:r>
        <w:t>Bei der Eingabe des Beschwerdeführers sind die Voraussetzungen nach Art. 82 ff. BGG für die Beschwerde in öffentlich-rechtlichen Angelegenheiten erfüllt, weshalb sie als solche - und nicht (auch) als (subsidiäre) Verfassungsbeschwerde - entgegenzunehmen ist ( Art. 113 BGG ).</w:t>
      </w:r>
    </w:p>
    <w:p>
      <w:r>
        <w:rPr>
          <w:b/>
        </w:rPr>
        <w:t>E. 2</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3</w:t>
      </w:r>
    </w:p>
    <w:p>
      <w:r>
        <w:t>Streitig und zu prüfen ist, ob die Vorinstanz Bundesrecht verletzte, indem sie die von der IV-Stelle für die Zeit vom 1. April bis 31. August 2014 und ab 1. Mai 2015 zugesprochene halbe Invalidenrente (unterbrochen durch den unbestrittenen Anspruch auf eine ganze Rente vom 1. September 2014 bis 30. April 2015) bestätigte. Der Beschwerdeführer beanstandet dabei einzig die Festsetzung des Invalideneinkommens (dazu E. 3.2) und die Berücksichtigung von nur 4.5 Erziehungsgutschriften (für die Zeit von 1990 bis 1998) im Rahmen der Rentenberechnung (dazu E. 3.3).</w:t>
      </w:r>
    </w:p>
    <w:p>
      <w:r>
        <w:rPr>
          <w:b/>
        </w:rPr>
        <w:t>E. 3.1</w:t>
      </w:r>
    </w:p>
    <w:p>
      <w:r>
        <w:t>Im angefochtenen Entscheid werden die gesetzlichen Bestimmungen und von der Rechtsprechung entwickelten Grundsätze zum Anspruch auf eine Invalidenrente ( Art. 28 Abs. 1 und 2 IVG ) und zur Ermittlung des Invaliditätsgrades bei erwerbstätigen Versicherten anhand der Einkommensvergleichsmethode ( Art. 16 ATSG in Verbindung mit Art. 28a Abs. 1 IVG ; BGE 130 V 343 E. 3.4 S. 348 f.) zutreffend dargelegt. Gleiches gilt für die Anrechnung von Erziehungsgutschriften im Rahmen der Rentenberechnung ( Art. 29sexies AHVG ). Darauf wird verwiesen.</w:t>
      </w:r>
    </w:p>
    <w:p>
      <w:r>
        <w:rPr>
          <w:b/>
        </w:rPr>
        <w:t>E. 3.2</w:t>
      </w:r>
    </w:p>
    <w:p>
      <w:r>
        <w:t>Der Beschwerdeführer stellt sich auf den Standpunkt, für die Festsetzung des Invalideneinkommens sei nicht auf Tabellenlöhne, sondern auf die konkrete Tätigkeit - er arbeite seit 12. Juni 2017 zwei bis fünf halbe Arbeitstage für die Raststätte B.________ - abzustellen. Sollten dennoch statistische Werte massgebend sein, müssten jedenfalls die im Gastgewerbe erzielten Löhne beigezogen werden, weil er die letzten 27 Jahre ununterbrochen in diesem Bereich gearbeitet habe.</w:t>
      </w:r>
    </w:p>
    <w:p>
      <w:r>
        <w:rPr>
          <w:b/>
        </w:rPr>
        <w:t>E. 3.2.1</w:t>
      </w:r>
    </w:p>
    <w:p>
      <w:r>
        <w:t>Rechtsprechungsgemäss kann der nach Eintritt der gesundheitlichen Beeinträchtigung mit Auswirkungen auf die Arbeitsfähigkeit erzielte Verdienst grundsätzlich nur dann als Invalideneinkommen gelten, wenn unter anderem die beruflich-erwerbliche Situation, in welcher der Versicherte konkret steht, stabil ist, insbesondere von voraussichtlich längerer Dauer sein wird (Urteil 9C_887/2015 vom 12. April 2016 E. 4.1.1 mit Hinweis), und weiter anzunehmen ist, dass er die ihm verbliebene Arbeitsfähigkeit in zumutbarer Weise voll ausschöpft ( BGE 129 V 472 E. 4.2.1 S. 475; 126 V 75 E. 3b/aa S. 76). Diese Voraussetzungen sind hier schon deshalb nicht erfüllt, weil zum für den Einkommensvergleich massgebenden Zeitpunkt des Rentenbeginns (Urteil 8C_61/2018 vom 23. März 2018 E. 6.2 mit Hinweisen) - hier: 1. April 2014 - keine stabilen erwerblichen Verhältnisse vorlagen: Der Beschwerdeführer trat die von ihm als massgebend betrachtete Stelle bei der Raststätte B.________ erst am 12. Juni 2017, mithin fast drei Jahre später, an (nachdem er bis Mitte 2014 als selbständiger Gastwirt und von Januar bis März 2017 bei der C.________ AG gearbeitet hatte). Des Weitern schiene auch fraglich, ob er die verbliebene Arbeitsfähigkeit von 40 %, welche unbestritten ist, mit einem Einsatz von zwei bis fünf Halbtagen pro Woche voll ausschöpft. Dass die Vorinstanz unter diesen Umständen davon ausging, der Invalidenlohn könne nicht anhand eines tatsächlich erzielten Erwerbseinkommens festgesetzt werden, sondern es sei dafür auf die vom Bundesamt für Statistik periodisch herausgegebene Lohnstrukturerhebung (LSE) abzustellen, ist nicht zu beanstanden (vgl. BGE 139 V 592 E. 2.3 S. 593 f. mit Hinweis).</w:t>
      </w:r>
    </w:p>
    <w:p>
      <w:r>
        <w:rPr>
          <w:b/>
        </w:rPr>
        <w:t>E. 3.2.2</w:t>
      </w:r>
    </w:p>
    <w:p>
      <w:r>
        <w:t>Was den beigezogenen Tabellenwert anbelangt, stellte das kantonale Gericht zu Recht nicht alleine auf die Branche "Gastgewerbe" ab, sondern auf den Durchschnittswert sämtlicher Wirtschaftszweige (Total). Denn wie im angefochtenen Entscheid verbindlich festgestellt wird, sind dem Beschwerdeführer behinderungsangepasste Tätigkeiten auch ausserhalb des Gastgewerbes ohne weiteres zumutbar (vgl. auch Urteil 9C_633/2013 vom 23. Oktober 2013 E. 4.2; MEYER/REICHMUTH, Bundesgesetz über die Invalidenversicherung [IVG], 3. Aufl. 2014, Rz. 97 zu Art. 28a IVG ).</w:t>
      </w:r>
    </w:p>
    <w:p>
      <w:r>
        <w:rPr>
          <w:b/>
        </w:rPr>
        <w:t>E. 3.3</w:t>
      </w:r>
    </w:p>
    <w:p>
      <w:r>
        <w:t>Wie bereits im kantonalen Verfahren macht der Beschwerdeführer sodann geltend, es seien ihm im Rahmen der Rentenberechnung sieben zusätzliche (d.h. insgesamt 11.5) Erziehungsgutschriften anzurechnen, dies für die Zeit ab April 2001, als der 1989 geborene Sohn nicht mehr bei der Mutter, sondern bei ihm gelebt habe. Er und seine Exfrau hätten sich über die Umverteilung der elterlichen Sorge und der Obhut mündlich geeinigt.</w:t>
      </w:r>
    </w:p>
    <w:p>
      <w:r>
        <w:rPr>
          <w:b/>
        </w:rPr>
        <w:t>E. 3.3.1</w:t>
      </w:r>
    </w:p>
    <w:p>
      <w:r>
        <w:t>Es steht fest, dass das Scheidungsurteil, welches die elterliche Sorge der Mutter zusprach, nie abgeändert wurde. Nach seiner eigenen Darstellung vereinbarte der Beschwerdeführer mit seiner Exfrau lediglich mündlich, dass der gemeinsame Sohn ab April 2001 bei ihm lebte. Damit blieb die elterliche Sorge bei der Mutter. Da nun aber die Bestimmung des Art. 29sexies Abs. 1 AHVG die Anrechnung von Erziehungsgutschriften vom formellen Erfordernis der elterlichen Sorge ( Art. 296 ff. ZGB ) abhängig macht ( BGE 130 V 241 E. 2.2 S. 244; Urteil 9C_258/2017 vom 21. August 2017 E. 4.1), vermag der Beschwerdeführer aus der entsprechenden Vereinbarung nichts zu seinen Gunsten abzuleiten.</w:t>
      </w:r>
    </w:p>
    <w:p>
      <w:r>
        <w:rPr>
          <w:b/>
        </w:rPr>
        <w:t>E. 3.3.2</w:t>
      </w:r>
    </w:p>
    <w:p>
      <w:r>
        <w:t>Zwar sieht Art. 29sexies Abs. 1 lit. a AHVG im Sinne einer Ausnahme von der Voraussetzung der elterlichen Sorge vor, dass der Bundesrat Vorschriften über die Anrechnung von Erziehungsgutschriften für den Fall erlassen kann, dass Eltern Kinder unter ihrer Obhut haben, ohne dass ihnen die elterliche Sorge zusteht. Die vom Bundesrat gestützt darauf erlassene Norm des Art. 52e AHVV bestimmt, dass Anspruch auf Erziehungsgutschriften auch besteht für Jahre, in denen die Eltern Kinder unter ihrer Obhut hatten, ohne dass ihnen die elterliche Sorge zustand. Indessen betrifft diese Regelung alleine den Fall, dass den Eltern auf Anordnung der Kindesschutzbehörde die elterliche Sorge entzogen wurde, die Kinder jedoch einem Elternteil zur Pflege und Erziehung überlassen wurden ( BGE 130 V 241 E. 2.2 S. 244). Ein derartiger Entzug der elterlichen Sorge liegt hier nicht vor.</w:t>
      </w:r>
    </w:p>
    <w:p>
      <w:r>
        <w:rPr>
          <w:b/>
        </w:rPr>
        <w:t>E. 3.4</w:t>
      </w:r>
    </w:p>
    <w:p>
      <w:r>
        <w:t>Zusammenfassend ergibt sich, dass die vom Versicherten erhobenen Einwände nicht geeignet sind, die vorinstanzliche Sachverhaltsfeststellung als offensichtlich unrichtig oder den angefochtenen Entscheid sonst wie als bundesrechtswidrig erscheinen zu lassen. Dies führt zur Abweisung der Beschwerde.</w:t>
      </w:r>
    </w:p>
    <w:p>
      <w:r>
        <w:rPr>
          <w:b/>
        </w:rPr>
        <w:t>E. 4</w:t>
      </w:r>
    </w:p>
    <w:p>
      <w:r>
        <w:t>Die Gerichtskosten werden dem unterliegenden Beschwerdeführer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