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9C_322/2007 vom 22. Januar 2008</w:t>
      </w:r>
    </w:p>
    <w:p>
      <w:r>
        <w:t>Bundesgericht, 2008-01-22, FR</w:t>
      </w:r>
    </w:p>
    <w:p>
      <w:r>
        <w:rPr>
          <w:b/>
        </w:rPr>
        <w:t xml:space="preserve">Quelle: </w:t>
      </w:r>
      <w:r>
        <w:t>https://mcp.opencaselaw.ch/entscheid/bger_9C_322_2007</w:t>
      </w:r>
    </w:p>
    <w:p>
      <w:r>
        <w:t>FR: TF 9C_322/2007 du 22 janvier 2008</w:t>
      </w:r>
    </w:p>
    <w:p>
      <w:r>
        <w:t>IT: TF 9C_322/2007 del 22 gennaio 2008</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pas lieu de procéder à un libre examen du jugement attaqué sous l'angle des faits (sauf si le recours est dirigé contre une décision concernant l'octroi ou le refus de prestations en espèces de l'assurance-accidents et de l'assurance militaire; art. 97 al. 2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1.3</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Le jugement entrepris expose correctement les règles légales et les principes jurisprudentiels relatifs à la notion d'invalidité et à son évaluation, ainsi que la jurisprudence rendue en matière de troubles somatoformes et sur la valeur probante des pièces médicales. Il suffit donc d'y renvoyer.</w:t>
      </w:r>
    </w:p>
    <w:p>
      <w:r>
        <w:rPr>
          <w:b/>
        </w:rPr>
        <w:t>E. 3</w:t>
      </w:r>
    </w:p>
    <w:p>
      <w:r>
        <w:t>Se fondant sur les conclusions de l'expertise du docteur S.________, la juridiction cantonale a retenu, sur le plan psychiatrique, que la recourante disposait d'une capacité résiduelle de travail de 70 %. Elle a par ailleurs constaté que l'avis du docteur T.________ n'était pas contradictoire mais divergeait sur l'étendue de la capacité de travail résiduelle. Dès lors que l'expertise du docteur S.________ était cependant plus détaillée, il y avait lieu d'en retenir les conclusions. Sur le plan somatique, les premiers juges ont suivi l'avis du docteur H.________, selon lequel la recourante disposait d'une capacité de travail entière dans une activité adaptée et ce, depuis le 3 octobre 2000. Son expertise avait pleine valeur probante et n'était de surcroît pas infirmée par les autres médecins ayant examiné la recourante. Procédant ensuite à une comparaison des revenus, la juridiction cantonale a conclu à un degré d'invalidité de 34 %, compte tenu d'un revenu sans invalidité de 44'766 fr. et d'un revenu d'invalide de 29'544 fr. (pour une capacité de travail de 70 % dans une activité simple et répétitive et après un abattement de 10 %).</w:t>
      </w:r>
    </w:p>
    <w:p>
      <w:r>
        <w:rPr>
          <w:b/>
        </w:rPr>
        <w:t>E. 4.1.1</w:t>
      </w:r>
    </w:p>
    <w:p>
      <w:r>
        <w:t>Reprenant dans les mêmes termes le premier grief développé devant la juridiction cantonale, la recourante fait valoir que l'accident dont elle a été victime a entraîné, selon les différents rapports médicaux au dossier, un « whiplash associated disorder », avec les symptômes constituant le tableau clinique typique des séquelles d'un tel accident. Elle estime que l'OAI ne pouvait ainsi retenir uniquement des troubles somatoformes douloureux en présence de troubles somatiques établis par lesdits rapports médicaux, ni appliquer la jurisprudence développée par le Tribunal fédéral des assurances en cas de trouble somatoforme douloureux au cas d'espèce.</w:t>
      </w:r>
    </w:p>
    <w:p>
      <w:r>
        <w:rPr>
          <w:b/>
        </w:rPr>
        <w:t>E. 4.1.2</w:t>
      </w:r>
    </w:p>
    <w:p>
      <w:r>
        <w:t>Contrairement à ce qu'affirme la recourante, des trois expertises se trouvant au dossier, soit celles des docteurs H.________, S.________ et T.________, aucune ne retient le diagnostic de « whiplash associated disorder ». Quant à la doctoresse B.________, si elle mentionne un status après whiplash, elle pose le diagnostic de syndrome douloureux chronique à prédominance cervicale, comme conséquence du whiplash. Cela se vérifie souvent dans la pratique. En effet, lorsqu'un assuré dépose une demande de prestations de l'assurance-invalidité en raison d'un syndrome douloureux, il y a souvent à l'origine d'un tel trouble une distorsion cervicale. Nombreux sont les exemples dans la jurisprudence du Tribunal fédéral des assurances en matière d'assurance-invalidité qui l'attestent (SVR 2006 IV no 30 p. 109 ss. consid. 2.4 [I 439/03]; arrêt S. du 13 juin 2006 [I 58/06], B. du 27 avril 2006 [I 121/06], A. du 24 octobre 2005 [I 281/05], G. du 11 août 2005 [I 125/05], T. du 26 juillet 2005 [I 351/05], N. du 22 avril 2005 [I 439/03], B. du 13 mai 2004 [I 295/03], P. du 6 mai 2004 [I 655/03], C. du 6 avril 2004 [I 660/03], A. du 18 novembre 2003 [I 64/03], S. du 27 août 2003 [I 145/03], I. du 28 avril 2003 [I 20/03], S. du 19 mars 2003 [I 201/02], T. du 13 mars 2003 [I 103/02], K. du 29 août 2002 [I 238/01], K. du 24 juin 2002 [I 36/02], S. du 15 juin 2000 [I 352/99], V. du 27 janvier 2000 [I 422/99], M. du 24 août 1999 [I 334/98], B. du 18 septembre 1998 [I 533/97], J. du 28 juin 1996 [I 246/94]. Dans tous les cas précités, une distorsion cervicale a été le facteur déclenchant le développement des douleurs chroniques.</w:t>
      </w:r>
    </w:p>
    <w:p>
      <w:r>
        <w:t>En l'espèce, si la recourante a bel et bien été victime d'une distorsion cervicale à l'origine, tous les médecins ont, plus d'un an après l'accident, retenu le même diagnostic de trouble ou syndrome somatoforme douloureux persistant. Or, selon la jurisprudence, le seul diagnostic de troubles somatoformes douloureux persistants n'entraîne pas, en règle générale, une limitation de longue durée de la capacité de travail pouvant conduire à une invalidité au sens de l' art. 4 al. 1 LAI . Les conditions auxquelles une dérogation à ce principe entre en considération ne sont toutefois pas remplies en l'espèce.</w:t>
      </w:r>
    </w:p>
    <w:p>
      <w:r>
        <w:rPr>
          <w:b/>
        </w:rPr>
        <w:t>E. 4.2.1</w:t>
      </w:r>
    </w:p>
    <w:p>
      <w:r>
        <w:t>Dans un second grief, la recourante reproche aux premiers juges d'avoir suivi l'avis de l'expert H.________ et non ceux des autres médecins, en particulier celui du psychiatre T.________ qui concluait à une incapacité de travail de 50 %.</w:t>
      </w:r>
    </w:p>
    <w:p>
      <w:r>
        <w:rPr>
          <w:b/>
        </w:rPr>
        <w:t>E. 4.2.2</w:t>
      </w:r>
    </w:p>
    <w:p>
      <w:r>
        <w:t>Ce grief, par lequel la recourante vise à substituer sa propre appréciation à celle des premiers juges, ne suffit pas à faire apparaître les faits constatés par ceux-ci comme manifestement inexacts ou établis en violation du droit. En effet, c'est sur le plan somatique que la juridiction cantonale a suivi les conclusions du docteur H.________. Sur le plan psychiatrique, elle a expliqué de manière circonstanciée les raisons pour lesquelles elle avait retenu les conclusions du docteur S.________ plutôt que celles du docteur T.________.</w:t>
      </w:r>
    </w:p>
    <w:p>
      <w:r>
        <w:rPr>
          <w:b/>
        </w:rPr>
        <w:t>E. 4.3</w:t>
      </w:r>
    </w:p>
    <w:p>
      <w:r>
        <w:t>Au vu de ce qui précède, il n'y a pas lieu de s'écarter des faits retenus par la juridiction cantonale, ni de l'appréciation qu'elle en a faite. Manifestement infondé, le recours doit être rejeté.</w:t>
      </w:r>
    </w:p>
    <w:p>
      <w:r>
        <w:rPr>
          <w:b/>
        </w:rPr>
        <w:t>E. 5</w:t>
      </w:r>
    </w:p>
    <w:p>
      <w:r>
        <w:t>Compte tenu de l'issue du litige, les frais de justice doivent être supportés par la recourante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