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321/2018 vom 16. Oktober 2018</w:t>
      </w:r>
    </w:p>
    <w:p>
      <w:r>
        <w:t>Bundesgericht, 2018-10-16, DE</w:t>
      </w:r>
    </w:p>
    <w:p>
      <w:r>
        <w:rPr>
          <w:b/>
        </w:rPr>
        <w:t xml:space="preserve">Quelle: </w:t>
      </w:r>
      <w:r>
        <w:t>https://mcp.opencaselaw.ch/entscheid/bger_9C_321_2018</w:t>
      </w:r>
    </w:p>
    <w:p>
      <w:r>
        <w:t>FR: TF 9C 321/2018 du 16 octobre 2018</w:t>
      </w:r>
    </w:p>
    <w:p>
      <w:r>
        <w:t>IT: TF 9C 321/2018 del 16 ottobre 2018</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Die Vorinstanz hat die massgebenden Rechtsgrundlagen zutreffend dargelegt. Es betrifft dies insbesondere die Bestimmungen und Grundsätze zum Begriff der Invalidität ( Art. 4 Abs. 1 IVG i.V.m. Art. 7 f. ATSG), zum Anspruch auf eine nach dem Grad der Invalidität abgestuften Invalidenrente ( Art. 28 Abs. 2 IVG ) sowie zum Beweiswert und zur Beweiswürdigung medizinischer Berichte und Gutachten ( BGE 134 V 231 E. 5.1 S. 232; 125 V 351 E. 3a S. 353). Korrekt wiedergegeben ist auch die Rechtsprechung zum ausgeglichenen Arbeitsmarkt der für die Bestimmung des Invalideneinkommens massgeblich ist ( BGE 138 V 457 E. 3.1 S. 459 f.; vgl. auch Urteil 8C_133/2018 vom 26. Juni 2018 E. 2.2.1 mit Hinweisen). Darauf wird verwiesen.</w:t>
      </w:r>
    </w:p>
    <w:p>
      <w:r>
        <w:rPr>
          <w:b/>
        </w:rPr>
        <w:t>E. 3</w:t>
      </w:r>
    </w:p>
    <w:p>
      <w:r>
        <w:t>Das kantonale Gericht erwog im Wesentlichen, dem MEDAS-Gutachten vom 6. Oktober 2016 komme Beweiswert zu. Die Experten hätten die bestehenden Geburtsgebrechen und gesundheitlichen Einschränkungen berücksichtigt, in ihren jeweiligen Fachdisziplinen die Fähigkeitsprofile präzise umschrieben und gestützt darauf Arbeitsfähigkeit und Belastungsprofil der Versicherten in einer angepassten Tätigkeit hinreichend genau festlegen können. Das Belastungsprofil gemäss Gutachten habe auch dem während eines Praktikums Gezeigten entsprochen. Weitere Abklärungen - insbesondere eine Evaluation der funktionellen Leistungsfähigkeit (EFL) - seien demnach nicht angezeigt gewesen. Ebenso habe sich - bei organisch bedingter Gesundheitsschädigung - die Durchführung eines strukturierten Beweisverfahrens erübrigt. Die Versicherte sei bei 100%iger Präsenzzeit zu 50 % arbeitsfähig; im Rahmen des Einkommensvergleichs sei das Valideneinkommen entsprechend Art. 26 Abs. 1 IVV ("Frühinvalide") zu bemessen und das Invalideneinkommen nach den Tabellenlöhnen der vom Bundesamt für Statistik periodisch durchgeführten Lohnstrukturerhebung (LSE), da eine Anstellung in der freien Wirtschaft medizinisch-theoretisch zumutbar sei. Nach Berücksichtigung eines Tabellenlohnabzugs von 10 % aufgrund der qualitativen Einschränkungen (enge Überwachung, Nachkontrolle) resultiere ab August 2013 der Anspruch auf eine Dreiviertelsrente.</w:t>
      </w:r>
    </w:p>
    <w:p>
      <w:r>
        <w:rPr>
          <w:b/>
        </w:rPr>
        <w:t>E. 4.1</w:t>
      </w:r>
    </w:p>
    <w:p>
      <w:r>
        <w:t>Die Beschwerdeführerin rügt zunächst eine Verletzung ihres rechtlichen Gehörs bzw. des Anspruchs auf ein faires (insbesondere: öffentliches) Verfahren ( Art. 6 Ziff. 1 EMRK ). Konkret habe das Versicherungsgericht die von ihr anbegehrte öffentliche Verhandlung "einzig auf die Möglichkeit der Äusserung der Beschwerdeführerin selbst und auf das Vortragsrecht der Vertreter" beschränkt; eine Parteibefragung habe es in antizipierter Beweiswürdigung als entbehrlich erachtet. Zudem habe es "weder die Äusserungen der Beschwerdeführerin, noch die Darlegungen des Parteivertreters, noch die eingereichten Dokumente" gewürdigt. Art. 6 Ziff. 1 EMRK verleiht zum vorneherein keinen Anspruch auf eine öffentliche Verhandlung primär im Hinblick auf eine Beweisabnahme (vgl. statt vieler Urteil 8C_64/2017 vom 27. April 2017 E. 4.2 mit Hinweisen), wie sie eine Parteibefragung darstellt (vgl. etwa Urteil 8C_106/2011 vom 1. Juni 2011 E. 2.5; zum Ganzen vgl. auch BGE 134 I 140 E. 5.2 i.f. S. 148). In casu führte die Vorinstanz unbestritten am 26. Februar 2018 eine öffentliche Verhandlung durch; inwiefern ihr Verzicht auf eine Parteibefragung - in antizipierter Beweiswürdigung, vgl. dazu BGE 136 I 229 E. 5.3 S. 236 - willkürlich sein soll, ist weder in der Beschwerde näher substanziiert noch ersichtlich. Die Vorinstanz hat die Einwände der Beschwerdeführerin gehört und dazu einlässlich Stellung genommen (vgl. etwa vorinstanzliche E. 5.2). Sie hat insbesondere auch die Überlegungen genannt, die zum Schluss führten, die Versicherte sei nicht auf einen geschützten Arbeitsplatz angewiesen (E. 6.1 der angefochtenen Erkenntnis) und daraufhin - logisch folgerichtig - für die Bemessung des Invalideneinkommens nicht auf das effektiv am geschützten Arbeitsplatz erzielte, sondern auf das am ersten Arbeitsmarkt zumutbarerweise erzielbare Einkommen abgestellt ( Art. 16 ATSG ; E. 6.2.3 des vorinstanzlichen Entscheids). Bei dieser Würdigung musste sie auf die von der Versicherten ins Recht gelegten Lohnabrechnungen nicht ausdrücklich Bezug nehmen (vgl. zum Umfang der Begründungspflicht etwa BGE 142 II 49 E. 9.2 S. 65). Das Versicherungsgericht hat nach dem Gesagten dem Anspruch der Versicherten auf rechtliches Gehör ( Art. 29 Abs. 2 BV ) Genüge getan.</w:t>
      </w:r>
    </w:p>
    <w:p>
      <w:r>
        <w:rPr>
          <w:b/>
        </w:rPr>
        <w:t>E. 4.2</w:t>
      </w:r>
    </w:p>
    <w:p>
      <w:r>
        <w:t>Die Vorinstanz habe - so die Beschwerdeführerin weiter - ausserdem den Untersuchungsgrundsatz ( Art. 61 lit. c ATSG ) missachtet und die Beweise willkürlich gewürdigt. Bereits eine frühere testpsychologische Einschätzung des lic. phil. E.________, Fachpsychologe für Kinder- und Jugendpsychologie FSP (Abklärungsbericht vom 6. Juli 2011) halte fest, ein Bestehen in der freien Wirtschaft sei nicht realisierbar. Aus dem Abschlussbericht Integration der IV (Bericht vom 9. Dezember 2013) ergebe sich, dass die Versicherte am geschützten Arbeitsplatz im Restaurant C.________ optimal eingegliedert sei. Das (eingeschränkte) Leistungsvermögen im zweiten Arbeitsmarkt werde auch in der Anamnese gemäss neurologischem Fachgutachten der MEDAS vom 6. Oktober 2016 eindrücklich festgehalten. Ob ein Wechsel in den ersten Arbeitsmarkt möglich sei oder nicht, hätte nach einer Beobachtungsdauer überprüft werden müssen; bei allfälligem Vorliegen von widersprüchlichen Schlussfolgerungen wäre ein Obergutachten einzuholen gewesen. Die Vorinstanz hat ausführlich dargelegt, weshalb sie - in antizipierter Beweiswürdigung - auf weitere medizinisch-erwerbliche Abklärungen verzichtete. Auf ihre diesbezüglichen Erwägungen (E. 5.2 der angefochtenen Erkenntnis) wird verwiesen. Inwiefern diese willkürlich oder sonstwie bundesrechtswidrig sein sollen, zeigt die Beschwerdeführerin nicht substanziiert auf ( Art. 42 Abs. 2 BGG ). Soweit sie materiell mit der Verwertbarkeit ihrer Arbeitsfähigkeit auf dem ersten Arbeitsmarkt argumentiert, ist darauf sogleich näher einzugehen.</w:t>
      </w:r>
    </w:p>
    <w:p>
      <w:r>
        <w:rPr>
          <w:b/>
        </w:rPr>
        <w:t>E. 5</w:t>
      </w:r>
    </w:p>
    <w:p>
      <w:r>
        <w:t>Die Versicherte ist der Ansicht, es stünden ihr aufgrund der starken gesundheitlichen Einschränkungen im ersten Arbeitsmarkt auch keine Nischenarbeitsplätze offen. Die medizinisch-theoretische Arbeitsfähigkeit könne realistischerweise bei einem durchschnittlichen Arbeitgeber nicht umgesetzt werden. Damit stellt sie die von der Vorinstanz festgestellte Verwertbarkeit ihrer Restarbeitsfähigkeit im ersten Arbeitsmarkt in Frage. Gemäss - nicht offensichtlich unrichtiger, und für das Bundesgericht deshalb verbindlicher (E. 1 hiervor) - Feststellung des kantonalen Gerichts benötigt die Beschwerdeführerin nach gutachterlicher Einschätzung bei ihren Tätigkeiten "überdurchschnittliche Anleitungen, eine strukturierte Führung, konstante Hilfestellung sowie Nachkontrollen". Die Leistungsfähigkeit in der freien Wirtschaft betrage - bei entsprechender Anleitung und Begleitung - 50 %. Offensichtlich unrichtig ist dagegen die Feststellung des Versicherungsgerichts, diesem Betreuungsbedarf der Versicherten sei bereits in der gutachterlichen Arbeitsfähigkeitsschätzung Rechnung getragen worden: Aus der MEDAS-Expertise ergibt sich deutlich, dass die Angabe einer Arbeits- und Leistungsfähigkeit von 50 % bei ganztägiger Präsenz auf der (quantitativen) Leistungsminderung, insbesondere durch eine verlangsamte Arbeitsgeschwindigkeit, basiert. Die notwendige arbeitsplatzbezogene Begleitung wird nicht unter dem Titel der Arbeitsfähigkeitsschätzung berücksichtigt, sondern bei den Vorschlägen zur Integration. Die insoweit offensichtlich unrichtige Sachverhaltsfeststellung der Vorinstanz - die im Übrigen auch deren E. 6.3.2, wonach den qualitativen Einschränkungen erst im Rahmen des Tabellenlohnabzugs Rechnung zu tragen sei (oben E. 3 i.f.), widerspricht - ist zu korrigieren (vorne E. 1). Was der gutachterlich festgehaltene Betreuungsbedarf für eine Arbeitgeberin an zusätzlichem Aufwand bedeutet, ist anhand der Akten zu ergänzen ( Art. 105 Abs. 2 BGG ). Aus dem Bericht der Ausbildungsstätte RAZ vom 23. Mai 2013 erhellt, dass eine Betreuungsperson drei bis vier Personen mit ähnlichen Behinderungen betreuen kann. Zur Umsetzung des 50%igen Leistungspotenzials der Beschwerdeführerin müsste mithin eine Arbeitgeberin einen Betreuungsaufwand im Umfang von ca. 25 bis 30 Stellenprozenten betreiben. Ein solches Entgegenkommen ist wohl nicht vollkommen ausgeschlossen, kann aber realistischerweise von einem durchschnittlichen Arbeitgeber auf dem ersten Arbeitsmarkt nicht erwartet werden (vgl. ähnlich Urteil 9C_277/2016 vom 15. März 2017 E. 4.3). Fehlt es demnach an der wirtschaftlichen Verwertbarkeit der Restarbeitsfähigkeit auf dem ausgeglichenen Arbeitsmarkt, liegt eine vollständige Erwerbsunfähigkeit vor, die Anspruch auf eine ganze Invalidenrente gibt (vgl. zitiertes Urteil 9C_277/2016 E. 4.3 i.f. mit Hinweis).</w:t>
      </w:r>
    </w:p>
    <w:p>
      <w:r>
        <w:rPr>
          <w:b/>
        </w:rPr>
        <w:t>E. 6</w:t>
      </w:r>
    </w:p>
    <w:p>
      <w:r>
        <w:t>Die Versicherte macht schliesslich sinngemäss geltend, das kantonale Gericht habe bei der Überprüfung, ob die pauschalisierte Parteientschädigung die effektiv entstandenen und von der Vertretung objektiv gerechtfertigten Kosten und Aufwendungen in angemessener Weise abgelte, rechtsfehlerhaft einen Stundenansatz von Fr. 180.- statt Fr. 220.- zugrunde gelegt. Nicht nachvollziehbar sei überdies, warum die Differenz von 1.43 Stunden zwischen aufgewendeter Zeit gemäss Honorarnote und entschädigter Zeit (bei einem Ansatz von Fr. 180.-/h) marginal sein solle. Entgegen der Vorinstanz sei für das kantonale Verfahren eine Parteientschädigung in Höhe der eingereichten Honorarnote (Fr. 3'420.40) zuzusprechen. Im Übrigen bemängelt die Beschwerdeführerin, das vorinstanzliche Dispositiv halte nicht fest, dass die Beschwerdegegnerin ihr den geleisteten Kostenvorschuss zurückzuerstatten habe.</w:t>
      </w:r>
    </w:p>
    <w:p>
      <w:r>
        <w:rPr>
          <w:b/>
        </w:rPr>
        <w:t>E. 6.1</w:t>
      </w:r>
    </w:p>
    <w:p>
      <w:r>
        <w:t>Nach Art. 61 lit. g ATSG hat die obsiegende Beschwerdeführerin im Verfahren vor dem kantonalen Versicherungsgericht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9C_787/2014 vom 7. Juli 2015 E. 4 mit Hinweis; vgl. auch BGE 114 V 83 E. 4b S. 87). Im Übrigen ist die Bemessung der Parteientschädigung für das erstinstanzliche Beschwerdeverfahren in Sozialversicherungsangelegenheiten dem kantonalen Recht überlassen (Art. 61 Ingress ATSG). 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Urteil 9C_412/2015 vom 23. Oktober 2015 E. 5.1 mit weiteren Hinweisen). Das Bundesgericht hebt die Festsetzung eines Anwaltshonorars nur auf, wenn sie ausserhalb jedes vernünftigen Verhältnisses zu den mit Blick auf den konkreten Fall notwendigen anwaltlichen Bemühungen steht und in krasser Weise gegen das Gerechtigkeitsgefühl verstösst (zitiertes Urteil 9C_787/2014 E. 5.2 mit Hinweis; Urteil 8C_11/2016 E. 3 mit Hinweisen).</w:t>
      </w:r>
    </w:p>
    <w:p>
      <w:r>
        <w:rPr>
          <w:b/>
        </w:rPr>
        <w:t>E. 6.2</w:t>
      </w:r>
    </w:p>
    <w:p>
      <w:r>
        <w:t>Vorliegend gewährte das kantonale Gericht gestützt auf das Aargauische Dekret über die Entschädigung der Anwälte (Anwaltstarif; SAR 291.150) sowie die im Schreiben des Versicherungsgerichts vom 23. Mai 2011 an den Präsidenten des Aargauischen Anwaltsverbands konkretisierte Praxis bezüglich der strittigen Fälle beim Versicherungsgericht (wortwörtliche Wiedergabe z.B. in SVR 2014 EL Nr. 8 S. 21, 9C_622/2013 vom 29. Januar 2014 E. 3.1) eine pauschale Parteientschädigung von Fr. 2'200.- (inkl. Auslagen und Mehrwertsteuer). Die Zusprache einer solchen ist grundsätzlich statthaft, sofern sie im Einzelfall die effektiv entstandenen und von der Vertretung objektiv gerechtfertigten Kosten und Aufwendungen in angemessener Weise abgilt (Urteil 8C_98/2017 vom 27. Oktober 2017 E. 5.2 mit Hinweis). Dass die Vorinstanz zwecks Überprüfung der Angemessenheit im konkreten Fall auf einen Mindestansatz von Fr. 180.- abstellte (E. 7.4 der angefochtenen Erkenntnis), verstösst nicht gegen Bundesrecht, kann die Parteientschädigung für das Verfahren vor den kantonalen Versicherungsgerichten doch rechtsprechungsgemäss willkürfrei innerhalb einer Bandbreite von Fr. 160.- bis 320.- in der Stunde festgelegt werden (zitiertes Urteil 9C_787/2014 E. 6.2 mit Hinweisen). Aus der Umlegung der reinen Stundenentschädigung von Fr. 1'968.75 (gemäss vorinstanzlicher E. 7.6) auf die 12.33 Stunden gemäss Honorarnote resultiert ein Stundenansatz von lediglich Fr. 160.-, was deutlich unter dem vom kantonalen Gericht zugrunde gelegten Stundenansatz von Fr. 180.- liegt. Bei diesem Ansatz bleibt ein Aufwand von 1.39 Stunden ungedeckt (12.33./. [Fr. 1'968.75 : Fr. 180.-]). Damit bestand aus verfassungsmässiger Sicht kein Spielraum mehr für eine abstrahierende Bemessungsweise (vgl. zitiertes Urteil 8C_98/2017 E. 5.2). Die Vorinstanz erläuterte denn auch, welche der frankenmässig bezifferten einzelnen Aufwandpositionen gemäss Honorarnote sie für übersetzt erachtete, weshalb damit kein Mehraufwand gegenüber dem für solche Verfahren üblicherweise notwendigen, im Pauschaltarif abgebildeten Aufwand dargetan werde, sondern vielmehr der durch die zugesprochene Pauschalentschädigung effektiv entschädigte Zeitaufwand von 10.94 Stunden als ausreichend für die notwendige Prozessvertretung betrachtet wurde (E. 7.6 der angefochtenen Erkenntnis). Inwiefern sie dabei in Willkür verfallen sein soll (vgl. oben E. 6.1 i.f.) wird weder substanziiert dargelegt noch ist es ersichtlich. Damit bleibt es bei der von der Vorinstanz für das kantonale Verfahren zugesprochenen Parteientschädigung.</w:t>
      </w:r>
    </w:p>
    <w:p>
      <w:r>
        <w:rPr>
          <w:b/>
        </w:rPr>
        <w:t>E. 6.3</w:t>
      </w:r>
    </w:p>
    <w:p>
      <w:r>
        <w:t>Was schliesslich die Rückerstattung des von der Beschwerdeführerin geleisteten Kostenvorschusses angeht, so fehlt diesbezüglich bereits ein Antrag, weshalb darauf nicht weiter einzugehen ist ( Art. 42 Abs. 1 BGG ). Zudem teilte das Versicherungsgericht der Beschwerdeführerin mit Schreiben vom 3. Mai 2018 mit, dass ihr praxisgemäss der geleistete Gerichtskostenvorschuss automatisch nach Eintritt der Rechtskraft des kantonalen Entscheids rückerstattet werde.</w:t>
      </w:r>
    </w:p>
    <w:p>
      <w:r>
        <w:rPr>
          <w:b/>
        </w:rPr>
        <w:t>E. 7</w:t>
      </w:r>
    </w:p>
    <w:p>
      <w:r>
        <w:t>Die Beschwerdegegnerin hat die Gerichtskosten zu tragen ( Art. 66 Abs. 1 Satz 1 BGG ) und der Beschwerdeführerin eine Parteientschädigung zu bezahlen ( Art. 68 Abs. 1 und 2 BGG ). Der Ausgang des Verfahrens hat keine Auswirkungen auf die Verlegung von Kosten und Parteientschädigung im vorinstanzlichen Verfahren (vgl.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