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320/2024 vom 9. Dezember 2024</w:t>
      </w:r>
    </w:p>
    <w:p>
      <w:r>
        <w:t>Bundesgericht, 2024-12-09, FR</w:t>
      </w:r>
    </w:p>
    <w:p>
      <w:r>
        <w:rPr>
          <w:b/>
        </w:rPr>
        <w:t xml:space="preserve">Quelle: </w:t>
      </w:r>
      <w:r>
        <w:t>https://mcp.opencaselaw.ch/entscheid/bger_9C_320_2024</w:t>
      </w:r>
    </w:p>
    <w:p>
      <w:r>
        <w:t>FR: TF 9C 320/2024 du 9 décembre 2024</w:t>
      </w:r>
    </w:p>
    <w:p>
      <w:r>
        <w:t>IT: TF 9C 320/2024 del 9 dicembre 2024</w:t>
      </w:r>
    </w:p>
    <w:p>
      <w:pPr>
        <w:pStyle w:val="Heading2"/>
      </w:pPr>
      <w:r>
        <w:t>Regeste</w:t>
      </w:r>
    </w:p>
    <w:p>
      <w:r>
        <w:t>Impôts cantonaux et communaux du canton de Genève et impôt fédéral direct, périodes fiscales 2003 à 2010 et 2012 à 2013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LHID [RS 642.14]).</w:t>
      </w:r>
    </w:p>
    <w:p>
      <w:r>
        <w:rPr>
          <w:b/>
        </w:rPr>
        <w:t>E. 1.2</w:t>
      </w:r>
    </w:p>
    <w:p>
      <w:r>
        <w:t>La juridiction cantonale a rendu un seul arrêt valant pour les impôts en matière d'IFD et de l'ICC pour les périodes fiscales litigieuses (2003 à 2010 et 2012 à 2013), ce qui est admissible ( ATF 135 II 260 consid. 1.3.1). Partant, le dépôt d'un seul acte de recours est aussi autorisé, dans la mesure où les recourants s'en prennent clairement aux deux catégories d'impôt (cf. ATF 135 II 260 consid. 1.3.2). Au surplus, le recours a été déposé en temps utile ( art. 46 al. 1 let . c et 100 al. 1 LTF) et dans les formes prescrites ( art. 42 LTF ) par les destinataires de la décision attaquée, qui ont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(arrêt 2C_132/2020 du 26 novembre 2020 consid. 2.1, non publié in ATF 147 II 155 ). Conformément à l' art. 106 al. 2 LTF , il n'examine toutefois la violation de droits fondamentaux que si ce grief a été invoqué et motivé par la partie recourante, c'est-à-dire s'il a été expressément soulevé et exposé de façon claire et détaillée (cf. ATF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La Cour de justice a rappelé de manière complète les règles légales et la jurisprudence sur le droit d'être entendu ( art. 29 al. 2 Cst. ; ATF 148 II 73 consid. 7.3.1; 145 I 167 consid. 4.1) et sur l'extinction de l'obligation de solidarité entre époux pour le montant global de l'impôt en cas de cessation de la vie commune ( art. 13 al. 2 LIFD ; art. 12 al. 2 de la loi genevoise du 27 septembre 2009 sur l'imposition des personnes physiques [LIPP; RS/GE D 3 08]). Il suffit de renvoyer à l'arrêt attaqué sur ces points ( art. 109 al. 3 LTF ).</w:t>
      </w:r>
    </w:p>
    <w:p>
      <w:r>
        <w:rPr>
          <w:b/>
        </w:rPr>
        <w:t>E. 4.1</w:t>
      </w:r>
    </w:p>
    <w:p>
      <w:r>
        <w:t>Les recourants se plaignent tout d'abord d'une violation de l'interdiction du déni de justice formel ( art. 29 al. 1 Cst. ), parce que la juridiction cantonale avait déclaré irrecevables leurs griefs relatifs au bien-fondé des rappels d'impôt. Comme les bordereaux de rappel d'impôt - dont les recourants ne précisent pas la date - n'auraient jamais été examinés sur le fond par une autorité judiciaire, la Cour de justice aurait dû entrer en matière sur ce point.</w:t>
      </w:r>
    </w:p>
    <w:p>
      <w:r>
        <w:rPr>
          <w:b/>
        </w:rPr>
        <w:t>E. 4.2</w:t>
      </w:r>
    </w:p>
    <w:p>
      <w:r>
        <w:t>Le grief est mal fondé. Les recourants perdent en effet de vue que l'objet de la contestation porté devant les deux autorités judiciaires cantonales avait trait uniquement à la conformité au droit de la décision sur réclamation du 8 juin 2021 relative à la scission. Les bordereaux de rappel d'impôt (datés du 25 septembre 2015), respectivement les décisions sur réclamation y relatives, n'étaient pas et ne pouvaient pas être concernés, puisqu'ils sont entrés en force de chose jugée formelle en automne 2016 ("formelle Rechtskraft": cf. ATF 140 I 114 consid. 2.4.2; arrêt 5A_839/2017 du 19 mars 2018 consid. 3.1 et les références). Ils ne pouvaient en effet plus être contestés par une voie de recours ordinaire après que la Cour de justice a rejeté le recours des contribuables contre le jugement du TAPI du 28 septembre 2016, par arrêt du 18 octobre 2016 (qui n'a pas été contesté au niveau fédéral). Quoi qu'en disent les recourants, il n'y a pas à "relativiser l'autorité de chose jugée des bordereaux en cause", au motif qu'aucune autorité judiciaire n'aurait examiné ces décisions. Ils ont disposé des voies de recours contre ces prononcés et ont eu l'occasion de les soumettre à une autorité judiciaire. Qu'un examen matériel de ces décisions n'ait pas eu lieu en raison de l'irrecevabilité de leur recours ne justifie aucunement l'ouverture d'une nouvelle possibilité d'examen matériel par un tribunal.</w:t>
      </w:r>
    </w:p>
    <w:p>
      <w:r>
        <w:rPr>
          <w:b/>
        </w:rPr>
        <w:t>E. 5.1</w:t>
      </w:r>
    </w:p>
    <w:p>
      <w:r>
        <w:t>Dans un deuxième grief, les recourants reprochent à la Cour de justice d'avoir violé leur droit d'être entendu en confirmant la répartition des montants de l'impôt entre eux alors que les calculs ne seraient ni explicites, ni documentés, ni reconstituables, ce que les juges précédents auraient d'ailleurs admis en indiquant que les recourants n'avaient pu formuler aucun grief précis concernant les calculs et pourcentages retenus par l'intimée. Selon eux, il revenait à l'autorité fiscale de fournir les informations nécessaires sur les montants retenus et non pas à eux d'effectuer des recherches et vérifications à ce sujet.</w:t>
      </w:r>
    </w:p>
    <w:p>
      <w:r>
        <w:rPr>
          <w:b/>
        </w:rPr>
        <w:t>E. 5.2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(cf. ATF 141 V 557 consid. 3.2.1 et les références).</w:t>
      </w:r>
    </w:p>
    <w:p>
      <w:r>
        <w:rPr>
          <w:b/>
        </w:rPr>
        <w:t>E. 5.3</w:t>
      </w:r>
    </w:p>
    <w:p>
      <w:r>
        <w:t>Les juges précédents ont constaté que l'intimée avait fourni un tableau en annexe de sa décision sur réclamation contenant les calculs de scission de l'impôt (IFD et ICC) dû pour chaque année fiscale ainsi que les pourcentages du revenu et de la fortune imputables à chacun des contribuables. Dès lors que les recourants ne contestent pas avoir eu accès à ces informations, c'est à juste titre que la Cour de justice a considéré qu'ils disposaient de suffisamment d'éléments pour se rendre compte de la portée des décisions de scission et pour les contester en connaissance de cause. C'est dans ce contexte qu'elle a d'ailleurs retenu que les recourants n'avaient formulé aucun grief concret concernant les calculs et pourcentages et non pas, contrairement à ce que prétendent ceux-ci, parce qu'ils ne disposaient pas des éléments pour comprendre les décisions de scission. Le droit d'être entendu des recourants n'a par conséquent pas été violé et leur grief est infondé.</w:t>
      </w:r>
    </w:p>
    <w:p>
      <w:r>
        <w:rPr>
          <w:b/>
        </w:rPr>
        <w:t>E. 6</w:t>
      </w:r>
    </w:p>
    <w:p>
      <w:r>
        <w:t>Les recourants soutiennent encore que la Cour de justice aurait violé l' art. 13 LIFD et appliqué arbitrairement l'art. 12 LIPP. En se limitant toutefois à affirmer qu'une "comptabilisation de salaire à double constituait un vice si grave" que la nullité des bordereaux de rappel d'impôt aurait d'emblée dû être constatée, de sorte que "les décisions de scission litigieuses étaient nécessairement erronées", les recourants ne mettent pas en évidence en quoi l'arrêt entrepris aurait méconnu les dispositions légales invoquées. Comme l'a considéré à juste titre la Cour de justice, considérations auxquelles il peut être renvoyé (cf. art. 109 al. 3 LTF ), les recourants invoquent la nullité pour tenter de provoquer un examen judiciaire des bordereaux de rappel, alors que le vice invoqué constitue un vice de fond qui n'est pas susceptible d'entraîner cette conséquence. Les juges précédents ont également retenu à juste titre que la responsabilité solidaire des recourants au sens des art. 13 LIFD et 12 LIPP portait (aussi) sur les impôts ayant fait l'objet des décisions de rappel, puisque celles-ci avaient été rendues avant leur séparation en 2017. Les recourants ne peuvent être suivis lorsqu'ils affirment le contraire, en faisant valoir que seul le contribuable avait causé les éléments ayant justifié le rappel d'impôts, de sorte que les revenus de son épouse "ne pouvaient en aucun cas être concernés par la mesure".</w:t>
      </w:r>
    </w:p>
    <w:p>
      <w:r>
        <w:rPr>
          <w:b/>
        </w:rPr>
        <w:t>E. 7</w:t>
      </w:r>
    </w:p>
    <w:p>
      <w:r>
        <w:t>Compte tenu de ce qui précède, le recours, qui est manifestement infondé, doit être rejeté selon la procédure simplifiée de l' art. 109 al. 2 let. a LTF . Les recourants,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