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320/2019 vom 9. Dezember 2019</w:t>
      </w:r>
    </w:p>
    <w:p>
      <w:r>
        <w:t>Bundesgericht, 2019-12-09, FR</w:t>
      </w:r>
    </w:p>
    <w:p>
      <w:r>
        <w:rPr>
          <w:b/>
        </w:rPr>
        <w:t xml:space="preserve">Quelle: </w:t>
      </w:r>
      <w:r>
        <w:t>https://mcp.opencaselaw.ch/entscheid/bger_9C_320_2019</w:t>
      </w:r>
    </w:p>
    <w:p>
      <w:r>
        <w:t>FR: TF 9C 320/2019 du 9 décembre 2019</w:t>
      </w:r>
    </w:p>
    <w:p>
      <w:r>
        <w:t>IT: TF 9C 320/2019 del 9 dicembre 2019</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Dans un grief d'ordre formel, la recourante se plaint d'une violation de son droit à des débats publics, garanti par l'art. 6 § 1 CEDH . Elle soutient qu'elle avait présenté cette requête de manière claire et indiscutable dans son recours cantonal, de sorte que l'autorité précédente aurait dû organiser de tels débats.</w:t>
      </w:r>
    </w:p>
    <w:p>
      <w:r>
        <w:rPr>
          <w:b/>
        </w:rPr>
        <w:t>E. 3</w:t>
      </w:r>
    </w:p>
    <w:p>
      <w:r>
        <w:t>Pour écarter la demande de débats publics, les premiers juges ont retenu qu'elle se rapportait manifestement à l'administration des moyens de preuve et non à la publicité des débats dont il est question à l' art. 6 CEDH . Ils ont ajouté que la présence de nombreux facteurs extra-médicaux faisait apparaître le recours comme clairement infondé, ce qui constituait un autre motif de rejet de la demande; de plus, toute autre requête de preuve, comme l'audition des parents, ne s'avérait pas nécessaire.</w:t>
      </w:r>
    </w:p>
    <w:p>
      <w:r>
        <w:rPr>
          <w:b/>
        </w:rPr>
        <w:t>E. 4.1</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ss). L'art. 6 § 1 CEDH garantit notamment à chacun le droit à ce que sa cause soit entendue publiquement. La tenue de débats publics doit, sauf circonstances exceptionnelles non réunies en l'espèce, avoir lieu devant les instances judiciaires précédentes. Il appartient à ce titre au recourant, sous peine de forclusion, de présenter une demande formulée de manière claire et indiscutable. Saisi d'une telle demande, le juge doit en principe y donner suite. Il peut cependant s'en abstenir dans les cas prévus par l'art. 6 par. 1, 2ème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p. 98; 136 I 279 consid. 1 p. 281; 134 I 331 consid. 2.3 p. 333; 122 V 47 consid. 3b p. 55; FRANK MEYER in: Karpenstein/Mayer, EMRK, Kommentar, 2ème éd., 2015, n. 64 ss ad art. 6). Le droit à des débats publics n'est pas périmé du seul fait que ceux-ci ne sont expressément demandés que lors du second échange d'écritures. En règle générale, une demande déposée pendant l'échange d'écritures est formée à temps ( ATF 134 I 331 ).</w:t>
      </w:r>
    </w:p>
    <w:p>
      <w:r>
        <w:rPr>
          <w:b/>
        </w:rPr>
        <w:t>E. 4.2</w:t>
      </w:r>
    </w:p>
    <w:p>
      <w:r>
        <w:t>Dans son recours à l'autorité cantonale, la recourante a présenté la demande suivante: "En l'état, la recourante demande que des débats publics aient lieu. Elle se réserve de retirer cette requête, au cas où l'échange des écritures et l'administration des preuves lui auront suffisamment permis d'exposer ses moyens." (ch. VII des préliminaires au recours cantonal). Par la suite, la recourante s'est exprimée par écrit à deux reprises, les 7 et 28 mai 2018, en demandant au tribunal de soumettre diverses questions au docteur B.________. Le 11 juin 2018, le tribunal a imparti un délai de dix jours à l'intimé pour se déterminer sur l'écriture du 28 mai 2018, à l'issue duquel l'échange d'écritures serait terminé. La recourante s'est encore prononcée par lettre du 4 décembre 2018.</w:t>
      </w:r>
    </w:p>
    <w:p>
      <w:r>
        <w:rPr>
          <w:b/>
        </w:rPr>
        <w:t>E. 4.3</w:t>
      </w:r>
    </w:p>
    <w:p>
      <w:r>
        <w:t>Il ressort explicitement des conclusions du recours du 12 janvier 2018 que la recourante avait sollicité la tenue de débats publics, cette expression y figurant en caractère gras (ch. VII des préliminaires au recours). Si la recourante a certes indiqué qu'elle se réservait la possibilité de retirer cette requête à certaines conditions, elle a formulé sa demande de débats publics indépendamment de l'offre de preuves (audition de ses parents comme témoins) qui figure dans la partie principale de son recours. A l'inverse de ce qu'a retenu la juridiction cantonale, sa demande ne portait pas sur l'administration des preuves et ne pouvait donc être refusée pour ce motif (cf. ATF 122 V 47 consid. 3a p. 55). Au terme de l'échange d'écritures, la recourante n'a pas retiré sa demande de débats publics - son ultime courrier du 4 décembre 2018 porte sur d'autres aspects - et la juridiction cantonale ne l'a pas interpellée à ce sujet. Par ailleurs, l'exception au principe de la publicité retenue par les premiers juges ne saurait être considérée comme réalisée. La présence de facteurs extra-médicaux qu'ils ont constatée ne suffisait pas à faire apparaître le recours comme clairement infondé. Compte tenu des griefs du recours, la juridiction cantonale s'est avant tout attachée à examiner des éléments pertinents supplémentaires liés à la maladie de la fièvre méditerranéenne familiale et a rejeté le recours pour d'autres motifs que les facteurs extra-médicaux évoqués.</w:t>
      </w:r>
    </w:p>
    <w:p>
      <w:r>
        <w:rPr>
          <w:b/>
        </w:rPr>
        <w:t>E. 4.4</w:t>
      </w:r>
    </w:p>
    <w:p>
      <w:r>
        <w:t>En l'absence d'une raison qui s'opposait à la tenue d'une audience publique devant la juridiction cantonale et compte tenu de la demande non équivoque formulée devant celle-ci par la recourante, à laquelle elle n'a pas renoncé, il y a lieu d'admettre que la procédure cantonale est entachée d'un vice de procédure qui entraîne d'emblée l'annulation du jugement entrepris, indépendamment des chances de succès sur le fond du recours en matière de droit public ( ATF 134 I 331 consid. 3.1 p. 335 s.). En conséquence, la cause est renvoyée à l'autorité précédente pour qu'elle donne suite à la requête de débats publics de la recourante et statue à nouveau. Vu l'issue de la procédure, qui relève de motifs formels, il convient de renoncer à un échange d'écritures ( art. 102 al. 1 LTF ; arrêt 9C_255/2019 du 16 juillet 2019 consid. 5 et la référence).</w:t>
      </w:r>
    </w:p>
    <w:p>
      <w:r>
        <w:rPr>
          <w:b/>
        </w:rPr>
        <w:t>E. 5</w:t>
      </w:r>
    </w:p>
    <w:p>
      <w:r>
        <w:t>La recourante, qui obtient gain de cause, a droit à une indemnité de dépens à charge de l'intimé ( art. 68 al. 1 LTF ). Faute pour la recourante de justifier les raisons pour lesquelles il y aurait lieu en l'espèce de déroger à la pratique de la IIe Cour de droit social du Tribunal fédéral, il convient de lui allouer une indemnité forfaitaire de 2800 fr.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