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320/2015 vom 25. August 2015</w:t>
      </w:r>
    </w:p>
    <w:p>
      <w:r>
        <w:t>Bundesgericht, 2015-08-25, DE</w:t>
      </w:r>
    </w:p>
    <w:p>
      <w:r>
        <w:rPr>
          <w:b/>
        </w:rPr>
        <w:t xml:space="preserve">Quelle: </w:t>
      </w:r>
      <w:r>
        <w:t>https://mcp.opencaselaw.ch/entscheid/bger_9C_320_2015</w:t>
      </w:r>
    </w:p>
    <w:p>
      <w:r>
        <w:t>FR: TF 9C 320/2015 du 25 août 2015</w:t>
      </w:r>
    </w:p>
    <w:p>
      <w:r>
        <w:t>IT: TF 9C 320/2015 del 25 agosto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Vorinstanz hat dem bidisziplinären Gutachten des medizinischen Zentrums B.________ vom 8. November 2013 Beweiskraft beigemessen und gestützt darauf festgestellt, der Versicherte sei spätestens seit der Observation im November 2010 in einer körperlich leichten und wechselbelastenden Tätigkeit voll arbeitsfähig bei einer Einschränkung der Leistungsfähigkeit um 20 %. Sodann bestätigte sie den von der Verwaltung errechneten Invaliditätsgrad von 31 %. Weil der Beschwerdeführer über die offensichtlich neu gewonnene Arbeits- und Leistungsfähigkeit nicht orientiert habe, bestätigte sie auch die rückwirkend vorgenommene Rentenaufhebung.</w:t>
      </w:r>
    </w:p>
    <w:p>
      <w:r>
        <w:rPr>
          <w:b/>
        </w:rPr>
        <w:t>E. 3.1</w:t>
      </w:r>
    </w:p>
    <w:p>
      <w:r>
        <w:t>Das Vorbringen des Beschwerdeführers, dass in der hier interessierenden Causa kein abgeschlossenes Strafverfahren mit Auswirkungen zu seinen Ungunsten vorliege, zielt ins Leere: Ein solches ist für eine (rückwirkende) Rentenaufhebung nicht vorausgesetzt. Der angefochtene Entscheid beruht ausschliesslich auf sozialversicherungsrechtlichen Grundlagen und besteht unabhängig von einem allfälligen Strafverfahren. Ebenso ist auf die Rüge, der Anspruch auf rechtliches Gehör ( Art. 29 Abs. 2 BV ) sei verletzt, weil ihm das Gutachten des medizinischen Zentrums B.________ nicht ordnungsgemäss zugestellt worden sei, nicht weiter einzugehen: Sie nimmt nicht Bezug auf die entsprechenden Erwägungen 2.1 bis 2.3 im angefochtenen Entscheid und genügt auch sonst nicht den qualifizierten Anforderungen an die Begründung (vgl. Art. 106 Abs. 2 BGG ).</w:t>
      </w:r>
    </w:p>
    <w:p>
      <w:r>
        <w:rPr>
          <w:b/>
        </w:rPr>
        <w:t>E. 3.2</w:t>
      </w:r>
    </w:p>
    <w:p>
      <w:r>
        <w:t>Was die Einholung des Gutachtens des medizinischen Zentrums B.________ anbelangt, so macht der Beschwerdeführer in pauschaler Weise geltend, sie sei nicht im Verfahren nach Art. 44 ATSG erfolgt und die "verbindenden Grundsätze" von BGE 137 V 210 sowie die Qualitätsleitlinien der Schweizerischen Gesellschaft für Versicherungspsychiatrie vom Februar 2012 seien nicht eingehalten. Auch in diesem Zusammenhang geht er mit keinem Wort auf die einschlägigen Erwägungen 3.7.1 und 3.7.2 des vorinstanzlichen Entscheids ein, was mit Blick auf Art. 42 Abs. 1 und 2 BGG nicht genügt (vgl. BGE 136 I 65 E. 1.3.1 S. 68; 134 V 53 E. 3.3 S. 60).</w:t>
      </w:r>
    </w:p>
    <w:p>
      <w:r>
        <w:rPr>
          <w:b/>
        </w:rPr>
        <w:t>E. 3.3.1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3.3.2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3.3.3</w:t>
      </w:r>
    </w:p>
    <w:p>
      <w:r>
        <w:t>Was der Beschwerdeführer in materieller Hinsicht gegen die Beweiskraft des Gutachtens des medizinischen Zentrums B.________ vorbringt, hält nicht Stand: Die Expertise wurde bidisziplinär durch zwei Ärzte der Fachrichtungen Psychiatrie und Psychotherapie sowie Rheumatologie erstattet. Inwiefern sie fachlich nicht resp. ungenügend qualifiziert sein sollen, dem Leiden des Versicherten Rechnung zu tragen, ist nicht ersichtlich und wird auch nicht substanziiert dargelegt. Insbesondere ist eine orthopädische Untersuchung verzichtbar, bilden doch (chronische) Schmerzen des Bewegungsapparates Gegenstand sowohl der Rheumatologie als auch der Orthopädie (Urteile 9C_270/2012 vom 23. Mai 2012 E. 4.2; 9C_547/2010 vom 26. Januar 2011 E. 4.1; 9C_203/2010 vom 21. September 2010 E. 4.1). Sodann ist nicht nachvollziehbar, dass die Experten nicht alle (medizinischen) Vorakten berücksichtigt haben sollen; namentlich ist ein Gutachten der Klinik C.________ vom 9. Oktober 2013, auf das sich der Beschwerdeführer beruft, nicht aktenkundig. Auch im Übrigen genügt das Gutachten des medizinischen Zentrums B.________ den bundesrechtlichen Anforderungen an die Beweiskraft (E. 3.2.1). Folglich ist der vorinstanzliche Verzicht auf weitere Abklärungen, namentlich eine Evaluation der funktionellen Leistungsfähigkeit (vgl. Urteil 8C_976/2010 vom 23. Februar 2011 E. 5.5), in pflichtgemässer antizipierender Beweiswürdigung erfolgt (vgl. BGE 136 I 229 E. 5.3 S. 236 ; 134 I 140 E. 5.3 S. 148; 124 V 90 E. 4b S. 94). Damit erübrigt sich auch die beantragte Rückweisung. Die auf dem Gutachten des medizinischen Zentrums B.________ beruhenden vorinstanzlichen Feststellungen betreffend die Arbeitsfähigkeit (E. 2) bleiben verbindlich (E. 1).</w:t>
      </w:r>
    </w:p>
    <w:p>
      <w:r>
        <w:rPr>
          <w:b/>
        </w:rPr>
        <w:t>E. 3.4</w:t>
      </w:r>
    </w:p>
    <w:p>
      <w:r>
        <w:t>Die Vorinstanz hat sich in E. 4.4 des angefochtenen Entscheids mit der Verwertbarkeit der Restarbeitsfähigkeit befasst und sie zutreffend (vgl. BGE 138 V 457 E. 3 S. 459 ff.), unter Verweis auf die verbleibende Aktivitätsdauer von neun Jahren, bejaht. Ebenso hat sie in E. 4.3 ihres Entscheids dargelegt, dass aufgrund des Alters bei der Invaliditätsbemessung kein Abzug vom Tabellenlohn (vgl. BGE 134 V 322 E. 5.2 S. 327; vgl. BGE 135 V 297 E. 5.3 S. 302 und E. 6.2 S. 305) angezeigt ist. Inwiefern die Abwesenheit vom Arbeitsmarkt und das Leistungsvermögen die Erwerbsfähigkeit über die vorinstanzlich festgestellte Einschränkung hinaus reduzieren sollen, ist nicht ersichtlich und wird auch nicht ausgeführt. Die Beschwerde ist auch in diesen Punkten offensichtlich unbegründet ( Art. 109 Abs. 2 lit. a BGG ).</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