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9C_320/2009 vom 2. Juni 2009</w:t>
      </w:r>
    </w:p>
    <w:p>
      <w:r>
        <w:t>Bundesgericht, 2009-06-02, DE</w:t>
      </w:r>
    </w:p>
    <w:p>
      <w:r>
        <w:rPr>
          <w:b/>
        </w:rPr>
        <w:t xml:space="preserve">Quelle: </w:t>
      </w:r>
      <w:r>
        <w:t>https://mcp.opencaselaw.ch/entscheid/bger_9C_320_2009</w:t>
      </w:r>
    </w:p>
    <w:p>
      <w:r>
        <w:t>FR: TF 9C_320/2009 du 2 juin 2009</w:t>
      </w:r>
    </w:p>
    <w:p>
      <w:r>
        <w:t>IT: TF 9C_320/2009 del 2 giugno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ist der Anspruch auf eine Invalidenrente. Das kantonale Gericht hat die zur Beurteilung dieser Frage einschlägigen Rechtsgrundlagen zutreffend dargelegt. Darauf wird verwiesen.</w:t>
      </w:r>
    </w:p>
    <w:p>
      <w:r>
        <w:rPr>
          <w:b/>
        </w:rPr>
        <w:t>E. 3</w:t>
      </w:r>
    </w:p>
    <w:p>
      <w:r>
        <w:t>Die revisionsweise Anpassung der Invalidenrente setzt nach Art. 17 ATSG Tatsachenänderungen (des Gesundheitszustandes, der Arbeits- und Erwerbsunfähigkeit usw.) im massgeblichen Vergleichszeitraum ( BGE 133 V 108 ) voraus.</w:t>
      </w:r>
    </w:p>
    <w:p>
      <w:r>
        <w:rPr>
          <w:b/>
        </w:rPr>
        <w:t>E. 3.1</w:t>
      </w:r>
    </w:p>
    <w:p>
      <w:r>
        <w:t>Die Vorinstanz hat die anspruchsrelevante Verbesserung des Gesundheitszustandes bejaht und hierzu Feststellungen getroffen, die für das Bundesgericht grundsätzlich verbindlich sind (E. 1). Die Beschwerdeführerin wendet ein, es sei keine Verbesserung eingetreten; die Vorinstanz habe die Stellungnahmen des behandelnden Facharztes nicht berücksichtigt und alleine auf die gutachterlichen Aussagen abgestützt; damit habe sie den medizinischen Sachverhalt mangelhaft und einseitig festgestellt.</w:t>
      </w:r>
    </w:p>
    <w:p>
      <w:r>
        <w:rPr>
          <w:b/>
        </w:rPr>
        <w:t>E. 3.2</w:t>
      </w:r>
    </w:p>
    <w:p>
      <w:r>
        <w:t>Die Vorinstanz stützte den Entscheid in der Tat und zu Recht auf das Gutachten des Dr. med. S.________ vom 21. Februar 2007 (mit Zusatzbericht vom 24. Januar 2008) ab. Das Gutachten und der Zusatzbericht sind das Ergebnis einer umfassenden und sorgfältigen Untersuchung, die sämtliche von der Rechtsprechung gestellten Anforderungen erfüllt ( BGE 125 V 351 E. 3a S. 352 mit Hinweisen) und beweiskräftig ist. Die Rüge einer einseitigen Berücksichtigung der gutachterlichen Erkenntnisse ist unbegründet: Die Vorinstanz hat die entsprechenden Gründe für den konkreten Fall korrekt und auf die Rechtsprechung abgestützt dargelegt. Dies betrifft auch die Auseinandersetzung mit dem im kantonalen Verfahren eingereichten Bericht des Therapiezentrums vom 12. März 2008 (Dres. med. E.________ und N.________). Bei der Würdigung von divergierenden ärztlichen Stellungnahmen zur Arbeitsfähigkeit ist dem Umstand Rechnung zu tragen, dass allenfalls von unterschiedlichen Krankheitsbegriffen ausgegangen wurde. Das in der Medizin verbreitete bio-psycho-soziale Krankheitsmodell (vgl. dazu CHRISTFRIED-ULRICH MAYER, Schmerz und Arbeitsunfähigkeit, in: Sozialversicherungsrechtstagung 2002, St. Gallen 2002, S. 95) ist weiter gefasst als der für die Belange der Rechtsanwendung massgebende sozialversicherungsrechtliche Begriff der invalidisierenden gesundheitlichen Beeinträchtigung (vgl. BGE 127 V 294 E. 5a S. 299). Beruht die Abweichung allein auf der Verwendung unterschiedlicher krankheitsbegrifflicher Prämissen, so liegen keine einander widersprechenden Einschätzungen im Sinne von BGE 125 V 351 E. 3a S. 352 vor. Von der beantragten Anordnung eines Gerichtsgutachtens ist schon deshalb abzusehen, weil das Bundesgericht die Sachverhaltsfeststellung der Vorinstanz nur berichtigen oder ergänzen kann, wenn sie offensichtlich unrichtig ist (E. 1), was hier nach dem Gesagten aber gerade nicht der Fall ist. Bei dieser Sachlage hat die Vorinstanz mit Recht gefolgert, dass die von Prof. V.________ ursprünglich erhobene massive psychische Störung, die zur Berentung führte, nicht mehr feststellbar ist, womit ein Revisionsgrund im Sinne von Art. 17 ATSG vorliegt. Der Einkommens- und Betätigungsvergleich zur Bestimmung des Invaliditätsgrades ist nicht zu beanstanden und letztinstanzlich nicht gerügt.</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