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9C_319/2009 vom 30. April 2009</w:t>
      </w:r>
    </w:p>
    <w:p>
      <w:r>
        <w:t>Bundesgericht, 2009-04-30, DE</w:t>
      </w:r>
    </w:p>
    <w:p>
      <w:r>
        <w:rPr>
          <w:b/>
        </w:rPr>
        <w:t xml:space="preserve">Quelle: </w:t>
      </w:r>
      <w:r>
        <w:t>https://mcp.opencaselaw.ch/entscheid/bger_9C_319_2009</w:t>
      </w:r>
    </w:p>
    <w:p>
      <w:r>
        <w:t>FR: TF 9C_319/2009 du 30 avril 2009</w:t>
      </w:r>
    </w:p>
    <w:p>
      <w:r>
        <w:t>IT: TF 9C_319/2009 del 30 aprile 2009</w:t>
      </w:r>
    </w:p>
    <w:p>
      <w:pPr>
        <w:pStyle w:val="Heading2"/>
      </w:pPr>
      <w:r>
        <w:t>Erwägungen</w:t>
      </w:r>
    </w:p>
    <w:p>
      <w:r>
        <w:rPr>
          <w:b/>
        </w:rPr>
        <w:t>E. 1</w:t>
      </w:r>
    </w:p>
    <w:p>
      <w:r>
        <w:t>Beim (materiell nicht angefochtenen) vorinstanzlichen Rückweisungsentscheid handelt es sich um einen Zwischenentscheid im Sinne von Art. 93 BGG ( BGE 133 V 477 E. 4.2 S. 481). Solche (selbständig eröffnete) Entscheide sind nur unter den alternativen Voraussetzungen von Art. 93 Abs. 1 BGG anfechtbar, d.h., wenn sie einen nicht wiedergutzumachenden Nachteil bewirken können (lit. a); oder wenn die Gutheissung der Beschwerde sofort einen Endentscheid herbeiführen und damit einen bedeutenden Aufwand an Zeit oder Kosten für ein weitläufiges Beweisverfahren ersparen würde (lit. b). Der zweite Tatbestand spielt hier von vornherein keine Rolle: Ein Urteil des Bundesgerichts über die Verlegung der Gerichts- und den Ersatz der Parteikosten für das kantonale Verfahren würde nicht sofort zu einem Endentscheid in der Sache führen. Was das Erfordernis gemäss Abs. 1 lit. a der streitigen Norm anbelangt, hat das Bundesgericht in BGE 133 V 645 erkannt, dass die Regelung der Kosten- und Entschädigungsfolge in einem Rückweisungsentscheid ebenfalls einen Zwischenentscheid im Sinne von Art. 93 BGG darstellt, auch insofern der nicht wiedergutzumachende Nachteil zu verneinen und daher auf entsprechende Beschwerden nicht einzutreten ist. Dieses amtlich publizierte Urteil vom 6. November 2007 wurde in der Folge mehrfach bestätigt (vgl. die zahlreichen Hinweise im Urteil 9C_567/2008 vom 30. Oktober 2008, in welchem im Übrigen eine Änderung der dargelegten Rechtsprechung abgelehnt wurde).</w:t>
      </w:r>
    </w:p>
    <w:p>
      <w:r>
        <w:t>Entgegen der Auffassung des Beschwerdeführers kann die in einem Rückweisungsentscheid getroffene vorinstanzliche Gerichts- und Parteikostenregelung später durchaus noch beim Bundesgericht angefochten werden, entweder selbständig innerhalb der normalen Rechtsmittelfrist ab Rechtskraft des Endentscheids oder zusammen mit dem neuen Entscheid der Vorinstanz. Der Kostenspruch im Rückweisungsentscheid wird mit dem Endentscheid zum materiellen Inhalt dieses Erkenntnisses ( BGE 133 V 645 E. 2.2 S. 648; erwähntes Urteil 9C_567/2008 E. 4.2 mit Literaturhinweis).</w:t>
      </w:r>
    </w:p>
    <w:p>
      <w:r>
        <w:rPr>
          <w:b/>
        </w:rPr>
        <w:t>E. 2</w:t>
      </w:r>
    </w:p>
    <w:p>
      <w:r>
        <w:t>Auf die im Sinne von Art. 108 Abs. 1 lit. a BGG offensichtlich unzulässige Beschwerde ist im vereinfachten Verfahren nicht einzutreten.</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