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9C_316/2022 vom 1. Juli 2022</w:t>
      </w:r>
    </w:p>
    <w:p>
      <w:r>
        <w:t>Bundesgericht, 2022-07-01, FR</w:t>
      </w:r>
    </w:p>
    <w:p>
      <w:r>
        <w:rPr>
          <w:b/>
        </w:rPr>
        <w:t xml:space="preserve">Quelle: </w:t>
      </w:r>
      <w:r>
        <w:t>https://mcp.opencaselaw.ch/entscheid/bger_9C_316_2022</w:t>
      </w:r>
    </w:p>
    <w:p>
      <w:r>
        <w:t>FR: TF 9C_316/2022 du 1 juillet 2022</w:t>
      </w:r>
    </w:p>
    <w:p>
      <w:r>
        <w:t>IT: TF 9C_316/2022 del 1 luglio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p. 61 consid. 2),</w:t>
      </w:r>
    </w:p>
    <w:p>
      <w:r>
        <w:t>qu'en l'occurrence, les écritures postées les 17 et 27 juin 2022 ne contiennent pas de conclusions, ou des conclusions insuffisantes,</w:t>
      </w:r>
    </w:p>
    <w:p>
      <w:r>
        <w:t>que l'argumentation, dans la mesure où elle est intelligible, ne se rapporte apparemment pas à l'objet de la contestation,</w:t>
      </w:r>
    </w:p>
    <w:p>
      <w:r>
        <w:t>qu'en définitive, le recourant n'indique pas les motifs pour lesquels, à son avis, l'instance précédente aurait dû entrer en matière sur ses demandes de récusation,</w:t>
      </w:r>
    </w:p>
    <w:p>
      <w:r>
        <w:t>qu'il s'ensuit que le recours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