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315/2011 vom 30. Mai 2011</w:t>
      </w:r>
    </w:p>
    <w:p>
      <w:r>
        <w:t>Bundesgericht, 2011-05-30, DE</w:t>
      </w:r>
    </w:p>
    <w:p>
      <w:r>
        <w:rPr>
          <w:b/>
        </w:rPr>
        <w:t xml:space="preserve">Quelle: </w:t>
      </w:r>
      <w:r>
        <w:t>https://mcp.opencaselaw.ch/entscheid/bger_9C_315_2011</w:t>
      </w:r>
    </w:p>
    <w:p>
      <w:r>
        <w:t>FR: TF 9C 315/2011 du 30 mai 2011</w:t>
      </w:r>
    </w:p>
    <w:p>
      <w:r>
        <w:t>IT: TF 9C 315/2011 del 30 maggio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und Grundsätze über die Invaliditätsbemessung bei teilerwerbstätigen Versicherten ( Art. 28 Abs. 3 IVG ; BGE 130 V 393 E. 3.3 S. 395 ff.), die für die prozentuale Festsetzung der auf Erwerbstätigkeit und Hausarbeit entfallenden Anteile massgebenden Kriterien ( BGE 125 V 146 E. 2c S. 150; vgl. auch BGE 133 V 504 E. 3.3 S. 507) zutreffend wiedergegeben. Richtig dargelegt hat sie ferner die Bestimmungen über die Rentenrevision ( Art. 17 Abs. 1 ATSG ) und die hiezu ergangene Rechtsprechung ( BGE 130 V 343 E. 3.5 S. 349), insbesondere auch zur Rentenrevision bei einer Wandlung des Aufgabenbereichs ( BGE 113 V 273 E. 1a S. 275; siehe auch BGE 130 V 343 E. 3.5 S. 349). Darauf wird verwiesen.</w:t>
      </w:r>
    </w:p>
    <w:p>
      <w:r>
        <w:rPr>
          <w:b/>
        </w:rPr>
        <w:t>E. 3.1</w:t>
      </w:r>
    </w:p>
    <w:p>
      <w:r>
        <w:t>Das Sozialversicherungsgericht stellte gestützt auf den Haushaltsabklärungsbericht vom 26. Mai 2008 fest, dass die Versicherte ohne Invalidität zu 60 % erwerbstätig wäre, während sie zu 40 % im Haushalt arbeiten würde, wobei sie sich zur Hauptsache mit der Pflege und Betreuung ihres schwerkranken und hilfsbedürftigen Ehemannes befassen müsse. Eigenen Angaben zufolge unterstütze sie ihren Ehegatten bei der Morgentoilette, beim täglichen Duschen, beim Anziehen und nach dem Toilettengang.</w:t>
      </w:r>
    </w:p>
    <w:p>
      <w:r>
        <w:rPr>
          <w:b/>
        </w:rPr>
        <w:t>E. 3.2</w:t>
      </w:r>
    </w:p>
    <w:p>
      <w:r>
        <w:t>Diese auf einer Würdigung der konkreten Umstände beruhenden Feststellungen der Vorinstanz, wie sie aus den Aussagen der Versicherten im Haushaltsabklärungsbericht vom 26. Mai 2008 hervorgehen, sind für das Bundesgericht grundsätzlich verbindlich (Urteil des Eidgenössischen Versicherungsgerichts I 693/06 vom 20. Dezember 2006; E. 1 hievor). In der Beschwerde wird nichts vorgebracht, was auf eine offensichtlich unrichtige oder anderweitig bundesrechtswidrige Sachverhaltsfeststellung des kantonalen Gerichts schliessen liesse. Die Annahme von Teilerwerbstätigkeit beruht auf den Abklärungen der IV-Stelle und ist nicht willkürlich. Die Gewichtung der einzelnen Bereiche wiederum ist eine Ermessensfrage, die nur bei Überschreitung, Unterschreitung oder Missbrauch des Ermessens einer letztinstanzlichen Korrektur zugänglich wäre (erwähntes Urteil I 693/06 vom 20. Dezember 2006; zur Ermessensüberprüfung im Allgemeinen vgl. BGE 132 V 393 E. 3.3 S. 399). Davon kann nicht die Rede sein. Die übrigen Einwendungen gegen die von der Vorinstanz festgestellte Änderung des Aufgabenbereichs von voller zu teilzeitlicher Erwerbstätigkeit und teilweiser Arbeit im Haushalt, welche der Rentenrevision zugrunde liegt, sind als appellatorische Kritik am angefochtenen Entscheid nicht zu hören. Immerhin ist die Beschwerdeführerin daran zu erinnern, dass sie gemäss Haushaltsabklärungsbericht vom 26. Mai 2008 selbst auf die schwere Erkrankung ihres Ehemannes und die deswegen benötigten Hilfestellungen hingewiesen und darum ohne Behinderung eine ausserhäusliche Tätigkeit von nur noch 50 % bis 70 % als wahrscheinlich erachtet hat.</w:t>
      </w:r>
    </w:p>
    <w:p>
      <w:r>
        <w:rPr>
          <w:b/>
        </w:rPr>
        <w:t>E. 3.3</w:t>
      </w:r>
    </w:p>
    <w:p>
      <w:r>
        <w:t>Von einer Rückweisung der Sache an die Verwaltung oder Vorinstanz zwecks Ergänzung des Sachverhalts gemäss dem Eventualantrag der Beschwerdeführerin ist abzusehen. Der rechtserhebliche Sachverhalt ist korrekt und vollständig festgestellt worden. Die Ausführungen der Versicherten in tatsächlicher Hinsicht, namentlich zu den einzelnen von ihr zu übernehmenden Betreuungsaufgaben (Begleitung zu Terminen, zur Dialyse und zum Arzt, Hilfe beim An- und Ausziehen, bei der Körperpflege, bei der Einhaltung einer speziellen Diät und bei der komplizierten Medikamenteneinnahme) vermögen eine neue Haushaltsabklärung nicht zu rechtfertigen, zumal keine offensichtlich unrichtige Sachverhaltsermittlung gerügt wird. Die Aufzählung der von der Beschwerdeführerin zu erbringenden Pflegeleistungen belegt vielmehr, dass Vorinstanz und Verwaltung im Revisionsverfahren zu Recht nur noch von einer reduzierten Erwerbstätigkeit im Umfang von 60 % ausgegangen sind, da sich eine vollzeitliche Arbeit ausser Haus mit diesen teilweise aufwändigen, über den Tag verteilten Pflege- und Betreuungsaufgaben auch ohne gesundheitliche Beeinträchtigung nicht hätte vereinbaren lassen. Der Einwand in der Beschwerde, die Annahme einer Reduktion der Erwerbstätigkeit um 40 % zufolge Betreuung des Ehemannes stehe in einem Missverhältnis zur Haushaltsabklärung, wo diese Aufgabe nur mit 4 % (10 % von 40 %) gewichtet wurde, schlägt nicht durch, weil die Versicherte nach verbindlicher Feststellung des kantonalen Gerichts dabei nicht wesentlich eingeschränkt ist. Endlich liegt, obwohl die Beschwerdeführerin bei Verfügungserlass älter als 55 Jahre war, kein Anwendungsfall der kürzlich präzisierten Rechtsprechung zur Unverwertbarkeit der (Rest)Arbeitsfähigkeit nach langjährigem Rentenbezug vor (Urteil 9C_228/2010 vom 26. April 2011 E. 3), weil keine arbeitsmarktliche Desintegration vorliegt, wie die noch von November 2005 bis Juli 2007 ausgeübte Erwerbstätigkeit zeigt.</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