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9C_315/2007 vom 25. Juli 2007</w:t>
      </w:r>
    </w:p>
    <w:p>
      <w:r>
        <w:t>Bundesgericht, 2007-07-25, DE</w:t>
      </w:r>
    </w:p>
    <w:p>
      <w:r>
        <w:rPr>
          <w:b/>
        </w:rPr>
        <w:t xml:space="preserve">Quelle: </w:t>
      </w:r>
      <w:r>
        <w:t>https://mcp.opencaselaw.ch/entscheid/bger_9C_315_2007</w:t>
      </w:r>
    </w:p>
    <w:p>
      <w:r>
        <w:t>FR: TF 9C_315/2007 du 25 juillet 2007</w:t>
      </w:r>
    </w:p>
    <w:p>
      <w:r>
        <w:t>IT: TF 9C_315/2007 del 25 luglio 2007</w:t>
      </w:r>
    </w:p>
    <w:p>
      <w:pPr>
        <w:pStyle w:val="Heading2"/>
      </w:pPr>
      <w:r>
        <w:t>Erwägungen</w:t>
      </w:r>
    </w:p>
    <w:p>
      <w:r>
        <w:rPr>
          <w:b/>
        </w:rPr>
        <w:t>E. 1</w:t>
      </w:r>
    </w:p>
    <w:p>
      <w:r>
        <w:t>Die Vorinstanz hat die Bestimmungen und Grundsätze zur streitigen Frage, ob das dem Beschwerdeführer für die Beitragsperiode 2003 als Invalidenrente der beruflichen Vorsorge ausgerichtete Renteneinkommen gemäss Art. 10 Abs. 1 AHVG in Verbindung mit Art. 28 Abs. 1 AHVV zu kapitalisieren und der Beitragspflicht als Nichterwerbstätiger zu Grunde zu legen ist, zutreffend dargelegt. Darauf wird verwiesen.</w:t>
      </w:r>
    </w:p>
    <w:p>
      <w:r>
        <w:rPr>
          <w:b/>
        </w:rPr>
        <w:t>E. 2</w:t>
      </w:r>
    </w:p>
    <w:p>
      <w:r>
        <w:t>Die Freistellung der AHV/IV-Renten von der Beitragspflicht der Nichterwerbstätigen beruht wesentlich auf der Überlegung, dass es eine Selbstfinanzierung der Versicherung zu vermeiden gilt: Der AHV/IV-Rentenbezüger soll nicht durch Beiträge auf diesem kapitalisierten Renteneinkommen zur Finanzierung der laufenden Rente herangezogen werden. Dieser Grundsatz rechtfertigt eine abweichende Behandlung gegenüber Bezügern, welche von irgend einem anderen Versicherungsträger eine Rente für gesundheitlich bedingte Erwerbsunfähigkeit (Invalidität) beziehen. Für eine andere Lösung bietet weder die bisherige Verwaltungspraxis und Rechtsprechung eine Grundlage; noch liegt eine solche Auffassung in der ratio legis des Gesetzgebers, welche die Nichterwerbstätigen nach ihren sozialen Verhältnissen der Beitragspflicht unterstellen will ( Art. 10 Abs. 1 AHVG ), dies mit der einzigen Ausnahme der Beitragspflicht auf der AHV/IV-Rente (AHI 2004 S. 171 E. 4.2; vgl. auch BGE 107 V 68 E. 4 S. 70-71 und ZAK 1991 S. 417 E. 3c).</w:t>
      </w:r>
    </w:p>
    <w:p>
      <w:r>
        <w:rPr>
          <w:b/>
        </w:rPr>
        <w:t>E. 3</w:t>
      </w:r>
    </w:p>
    <w:p>
      <w:r>
        <w:t>Verwaltung und Vorinstanz haben bei der Berechnung der Beiträge für das Jahr 2003 die Berufsvorsorgerente im Unterschied zur Rente der Invalidenversicherung in Anwendung von Art. 28 Abs. 1 AHVV und gestützt auf den erwähnten Grundsatz zutreffend in Anrechnung gebracht. Die Beschwerde legt nicht dar, dass und inwiefern diese vorinstanzliche Schlussfolgerung bei der gegebenen Aktenlage offensichtlich unrichtig ( Art. 105 Abs. 2 BGG ) wäre oder Bundesrecht verletzen würde ( Art. 95 lit. a BGG ). Da das berufsvorsorgliche Rentenbetreffnis nicht einem freigestellten Einkommen entspricht, ist der kantonale Entscheid zu bestätigen.</w:t>
      </w:r>
    </w:p>
    <w:p>
      <w:r>
        <w:rPr>
          <w:b/>
        </w:rPr>
        <w:t>E. 4</w:t>
      </w:r>
    </w:p>
    <w:p>
      <w:r>
        <w:t>Die Beschwerde ist offensichtlich unbegründet ( Art. 109 Abs. 2 lit. a BGG ), weshalb sie mit summarischer Begründung und unter Verweis auf den angefochtenen Entscheid ( Art. 109 Abs. 3 BGG ) im vereinfachten Verfahren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