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9C_311/2009 vom 2. Dezember 2009</w:t>
      </w:r>
    </w:p>
    <w:p>
      <w:r>
        <w:t>Bundesgericht, 2009-12-02, FR</w:t>
      </w:r>
    </w:p>
    <w:p>
      <w:r>
        <w:rPr>
          <w:b/>
        </w:rPr>
        <w:t xml:space="preserve">Quelle: </w:t>
      </w:r>
      <w:r>
        <w:t>https://mcp.opencaselaw.ch/entscheid/bger_9C_311_2009</w:t>
      </w:r>
    </w:p>
    <w:p>
      <w:r>
        <w:t>FR: TF 9C_311/2009 du 2 décembre 2009</w:t>
      </w:r>
    </w:p>
    <w:p>
      <w:r>
        <w:t>IT: TF 9C_311/2009 del 2 dicembre 2009</w:t>
      </w:r>
    </w:p>
    <w:p>
      <w:pPr>
        <w:pStyle w:val="Heading2"/>
      </w:pPr>
      <w:r>
        <w:t>Erwägungen</w:t>
      </w:r>
    </w:p>
    <w:p>
      <w:r>
        <w:rPr>
          <w:b/>
        </w:rPr>
        <w:t>E. 1</w:t>
      </w:r>
    </w:p>
    <w:p>
      <w:r>
        <w:t>Le litige porte sur la suppression rétroactive, par la voie de la révision, du droit du recourant à une rente entière d'invalidité à partir du 1er juillet 2006. Singulièrement, il y a lieu d'examiner si la capacité de gain du recourant a augmenté dans une mesure justifiant la suppression de cette prestation.</w:t>
      </w:r>
    </w:p>
    <w:p>
      <w:r>
        <w:rPr>
          <w:b/>
        </w:rPr>
        <w:t>E. 2</w:t>
      </w:r>
    </w:p>
    <w:p>
      <w:r>
        <w:t>Les premiers juges ont considéré que les indemnités parlementaires perçues par le recourant devaient être traitées comme un revenu d'une activité lucrative et les a comparées au gain, largement inférieur, qu'il aurait pu réaliser en tant qu'enseignant en République slovaque. Le recourant ne subissant plus aucune perte de gain, le droit à la rente entière d'invalidité devait par conséquent être supprimé. Par ailleurs, les premiers juges ont estimé que le recourant avait violé son obligation de renseigner, raison pour laquelle la rente a été supprimée avec effet rétroactif au 1er juillet 2006.</w:t>
      </w:r>
    </w:p>
    <w:p>
      <w:r>
        <w:t>Le recourant conteste l'existence d'un motif de révision. Il estime que les indemnités parlementaires dont il bénéficie ne sauraient être prises en considération comme revenu d'invalide puisque l'activité dont elles découlent n'est pas raisonnablement exigible ni suffisamment stable. Il fait ensuite valoir que si les indemnités perçues en sa qualité de député devaient être assimilées au revenu d'invalide, celui-ci devrait être comparé avec le gain qu'il serait susceptible de réaliser comme enseignant sur le marché suisse et non sur le marché slovaque. A défaut, il y aurait lieu de comparer le salaire qu'il pourrait réaliser comme enseignant en Suisse avec celui d'un parlementaire fédéral. Enfin, le recourant conteste la suppression rétroactive de sa rente d'invalidité, arguant de sa bonne foi lorsqu'il a indiqué à l'intimé qu'il était sans activité lucrative quand bien même il exerçait un mandat politique.</w:t>
      </w:r>
    </w:p>
    <w:p>
      <w:r>
        <w:rPr>
          <w:b/>
        </w:rPr>
        <w:t>E. 3.1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 art. 8 al. 1 et art. 16 LPGA ).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 ATF 129 V 472 consid. 4.2.1 p. 475; 126 V 75 consid. 3b/aa p. 76).</w:t>
      </w:r>
    </w:p>
    <w:p>
      <w:r>
        <w:rPr>
          <w:b/>
        </w:rPr>
        <w:t>E. 3.2.1</w:t>
      </w:r>
    </w:p>
    <w:p>
      <w:r>
        <w:t>Le recourant a été élu en juin 2006 pour une durée minimale de quatre ans, de sorte que son argumentation tirée du caractère provisoire de son statut de député tombe à faux. Au demeurant, comme l'a retenu à juste titre la juridiction précédente, son mandat présente de solides garanties sur le plan financier puisque le salaire d'un député du Conseil national de la République slovaque représente le triple du salaire mensuel nominal d'un salarié dans l'économie nationale du pays en question, soit à l'époque actuelle, 2009 EUR (cf. www.nrsr.sk). De ces constatations, il y a lieu de déduire que l'activité de député exercée encore aujourd'hui par le recourant est stable et qu'elle ne contient pas d'élément de salaire social. Dans la mesure où le recourant peut exercer son mandat sans restriction du point de vue de son état de santé, du moins n'allègue-t-il pas le contraire, il y a lieu d'en conclure que cette activité met pleinement en valeur sa capacité de travail résiduelle. Vu ce qui précède, il convient de prendre en compte le revenu effectivement réalisé par le recourant en sa qualité de député au Parlement slovaque pour fixer son revenu d'invalide. Selon les constatations de la juridiction cantonale, qui lient le Tribunal fédéral ( art. 105 al. 1 LTF ), le salaire du recourant s'élevait à 54'400 SK.</w:t>
      </w:r>
    </w:p>
    <w:p>
      <w:r>
        <w:rPr>
          <w:b/>
        </w:rPr>
        <w:t>E. 3.2.2</w:t>
      </w:r>
    </w:p>
    <w:p>
      <w:r>
        <w:t>On relèvera, à titre superfétatoire, que selon l' art. 25 al. 1 RAI , est réputé revenu au sens de l' art. 16 LPGA le revenu annuel présumable sur lequel les cotisations seraient perçues en vertu de la LAVS. Conformément à l' art. 5 al. 2 LAVS , le salaire déterminant (sur lequel il est perçu une cotisation [al. 1]) provenant d'une activité dépendante comprend toute rémunération pour un travail dépendant, fourni pour un temps déterminé ou indéterminé. L' art. 7 let. i RAVS précise que le salaire déterminant (provenant d'une activité dépendante) pour le calcul des cotisations comprend notamment, dans la mesure où il ne s'agit pas d'un dédommagement pour frais encourus, le revenu des membres d'autorités de la Confédération, des cantons et des communes. Sont ainsi considérés comme des membres d'autorités selon cette disposition, les membres du pouvoir exécutif, judiciaire et législatif des autorités mentionnées. Il découle de ce qui précède (voir aussi l'arrêt du Tribunal fédéral 9C_699/2008 du 26 janvier 2009) que la rémunération touchée par un parlementaire fédéral correspond à un revenu au sens de l' art. 16 LPGA . Or, si tel est le cas alors que l'activité de parlementaire fédéral est une activité de milice, modestement rémunérée, les indemnités perçues par le recourant pour son mandat de député en République slovaque, - lequel ne correspond pas à une activité de milice (preuve en est la rémunération trois fois plus élevée que le salaire moyen dans l'économie nationale) - doivent par analogie et à plus forte raison être considérées comme du revenu au sens de l' art. 16 LPGA .</w:t>
      </w:r>
    </w:p>
    <w:p>
      <w:r>
        <w:rPr>
          <w:b/>
        </w:rPr>
        <w:t>E. 3.3</w:t>
      </w:r>
    </w:p>
    <w:p>
      <w:r>
        <w:t>Les premiers juges ont ensuite constaté que le recourant aurait réalisé un revenu sans invalidité de 19'200 SK par mois, montant correspondant au salaire moyen d'un enseignant en République slovaque. Constatant que ce montant était largement inférieur au traitement d'un parlementaire slovaque, la juridiction de première instance a conclu que le recourant ne subissait plus de perte de gain à compter de son élection au Conseil national slovaque. La comparaison du revenu sans invalidité et du revenu d'invalide sur le même marché du travail est correcte, quoi qu'en dise le recourant. Selon la jurisprudence du Tribunal fédéral ( ATF 110 V 273 ), la comparaison des revenus déterminants pour évaluer le degré d'invalidité d'un assuré domicilié à l'étranger doit s'effectuer sur le même marché du travail, car la disparité des niveaux de rémunération et des coûts de la vie d'un pays à l'autre ne permet pas de procéder à une comparaison objective des revenus entrant en considération. Quant à la question de savoir s'il y avait lieu de comparer les revenus sans invalidité et d'invalide sur le marché suisse plutôt que sur le marché slovaque, comme le demande le recourant, il faut lui donner une réponse négative car c'est en République slovaque, où il est domicilié, que le recourant a repris une activité lucrative après son atteinte à la santé.</w:t>
      </w:r>
    </w:p>
    <w:p>
      <w:r>
        <w:rPr>
          <w:b/>
        </w:rPr>
        <w:t>E. 3.4.1</w:t>
      </w:r>
    </w:p>
    <w:p>
      <w:r>
        <w:t>Le recourant conteste enfin l'application de l' art. 88bis al. 2 let. b RAI , selon lequel la suppression de la rente prend effet rétroactivement à la date où elle a cessé de correspondre aux droits de l'assuré, s'il a manqué, à un moment donné, à l'obligation de renseigner qui lui incombe raisonnablement selon l'art. 77. En particulier, il fait valoir qu'il n'a jamais eu l'intention de cacher son élection comme député et de tromper ainsi l'office intimé puisque son mandat politique ne constitue pas, selon lui, une activité au sens commun du terme.</w:t>
      </w:r>
    </w:p>
    <w:p>
      <w:r>
        <w:rPr>
          <w:b/>
        </w:rPr>
        <w:t>E. 3.4.2</w:t>
      </w:r>
    </w:p>
    <w:p>
      <w:r>
        <w:t>D'après l' art. 77 RAI ,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w:t>
      </w:r>
    </w:p>
    <w:p>
      <w:r>
        <w:t>L'argument du recourant n'est pas pertinent car il ne lui appartenait justement pas de décider lui-même que son mandat de député ne constituait pas une activité lucrative en tant que telle. Selon le texte clair de l' art. 77 RAI , le recourant devait annoncer tout changement dans sa situation personnelle ou économique. Or, le fait de percevoir ensuite d'une élection des indemnités équivalant au triple du salaire moyen ayant cours dans son pays de domicile constitue à n'en point douter un changement dans la situation économique de l'assuré et ce, indépendamment de la qualification comme activité lucrative ou non de son mandat politique. Par conséquent, en n'avisant pas l'intimé de ce changement de situation, le recourant a contrevenu à son obligation de renseigner prescrit à l' art. 77 RAI , ce qui justifie l'application de l' art. 88bis al. 2 let. b RAI . Le droit à la rente entière d'invalidité dont bénéficiait le recourant doit par conséquent être supprimé avec effet rétroactif à la date de son élection au Conseil national de la République slovaque, soit à partir du 1er juillet 2006.</w:t>
      </w:r>
    </w:p>
    <w:p>
      <w:r>
        <w:t>Mal fondé, le recours doit être rejeté.</w:t>
      </w:r>
    </w:p>
    <w:p>
      <w:r>
        <w:rPr>
          <w:b/>
        </w:rPr>
        <w:t>E. 4</w:t>
      </w:r>
    </w:p>
    <w:p>
      <w:r>
        <w:t>Compte tenu de l'issue du litige, les frais de justice doivent être supportés par le recourant qui succombe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