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310/2020 vom 13. Oktober 2020</w:t>
      </w:r>
    </w:p>
    <w:p>
      <w:r>
        <w:t>Bundesgericht, 2020-10-13, DE</w:t>
      </w:r>
    </w:p>
    <w:p>
      <w:r>
        <w:rPr>
          <w:b/>
        </w:rPr>
        <w:t xml:space="preserve">Quelle: </w:t>
      </w:r>
      <w:r>
        <w:t>https://mcp.opencaselaw.ch/entscheid/bger_9C_310_2020</w:t>
      </w:r>
    </w:p>
    <w:p>
      <w:r>
        <w:t>FR: TF 9C 310/2020 du 13 octobre 2020</w:t>
      </w:r>
    </w:p>
    <w:p>
      <w:r>
        <w:t>IT: TF 9C 310/2020 del 13 ottobre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Bestritten und zu prüfen ist, ob das kantonale Gericht Bundesrecht verletzt hat, indem es zum Schluss gelangt ist, dass die von der B.________ GmbH für das Jahr 2019 in Rechnung gestellten und von den Eltern der Beschwerdeführerin erbrachten Leistungen nicht als medizinische Massnahmen im Sinne von Art. 12 ff. IVG qualifiziert werden könnten und daher von der Beschwerdegegnerin nicht unter diesem Titel zu übernehmen seien.</w:t>
      </w:r>
    </w:p>
    <w:p>
      <w:r>
        <w:rPr>
          <w:b/>
        </w:rPr>
        <w:t>E. 3</w:t>
      </w:r>
    </w:p>
    <w:p>
      <w:r>
        <w:t>Der Anspruch auf medizinische Massnahmen der Invalidenversicherung ist in Art. 12 bis 14 IVG und den entsprechenden Verordnungsbestimmungen geregelt.</w:t>
      </w:r>
    </w:p>
    <w:p>
      <w:r>
        <w:rPr>
          <w:b/>
        </w:rPr>
        <w:t>E. 3.1.1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 Die medizinischen Massnahmen umfassen die Behandlung, die von der Ärztin oder vom Arzt selbst oder auf ihre respektive seine Anordnung durch medizinische Hilfspersonen in Anstalts- oder Hauspflege vorgenommen wird, mit Ausnahme von logopädischen und psychomotorischen Therapien ( Art. 14 Abs. 1 lit. a IVG ), und die Abgabe der ärztlich verordneten Arzneien ( Art. 14 Abs. 1 lit. b IVG ).</w:t>
      </w:r>
    </w:p>
    <w:p>
      <w:r>
        <w:rPr>
          <w:b/>
        </w:rPr>
        <w:t>E. 3.1.2</w:t>
      </w:r>
    </w:p>
    <w:p>
      <w:r>
        <w:t>Im Urteil 8C_81/2010 vom 7. Juli 2010 ( BGE 136 V 209 ) hat das Bundesgericht entschieden, dass bei Hauspflege vorgenommene Vorkehren,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(vgl. E. 2.3.2). Mit Urteil 8C_229/2018 vom 28. Januar 2019 wurde daran festgehalten, dass nur Vorkehren, welche notwendigerweise durch die Ärztin oder den Arzt respektive - auf ihre oder seine Anordnung hin - durch medizinische Hilfspersonen vorzunehmen seien, als medizinische Massnahmen im Sinne von Art. 13 Abs. 1 in Verbindung mit Art. 14 Abs. 1 lit. a IVG und Art. 2 Abs. 3 GgV gälten. Das treffe nicht zu bei Vorkehren, welche, ob nun mit oder ohne Anleitung, durch Personen ohne medizinische Spezialausbildung durchgeführt werden könnten. Bei Hauspflege stellten somit Pflegeleistungen, die keine medizinische Qualifikation erforderten,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 8C_541/2018 vom 10. April 2019 E. 4.2 und Bestätigung der Rechtsprechung in E. 4.3). Die tägliche Krankenpflege stellt mangels therapeutischen Charakters keine medizinische Massnahme dar (vgl. MEYER/REICHMUTH,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und 208).</w:t>
      </w:r>
    </w:p>
    <w:p>
      <w:r>
        <w:rPr>
          <w:b/>
        </w:rPr>
        <w:t>E. 3.2.1</w:t>
      </w:r>
    </w:p>
    <w:p>
      <w:r>
        <w:t>Die Beschwerdeführerin bestreitet nicht, dass die von ihren Eltern erbrachten Leistungen keine medizinische Berufsqualifikation erfordern. Mit Blick auf die dargelegte Rechtsprechung können sie daher nicht als medizinische Massnahmen im Sinne der Gesetzgebung qualifiziert werden. Daran vermag auch der Hinweis auf die "gesetzliche Konzeption" von Art. 14 IVG nichts zu ändern. Soweit die Beschwerdeführerin auf die Rechtsprechung im Zusammenhang mit der obligatorischen Krankenpflegeversicherung verweist ( BGE 145 V 161 E. 5), kann sie daraus nichts zu ihren Gunsten ableiten. So liegt den beiden Leistungsbereichen IV und KV eine unterschiedliche Zwecksetzung zugrunde, die Abweichungen hinsichtlich der Anspruchsvoraussetzungen rechtfertigt (so bereits BGE 136 V 209 E. 9 S. 213 f.; vgl. auch Urteil 9C_95/2020 vom 16. April 2020 E. 5.2.3). Eine Verletzung des Gleichbehandlungsgebots liegt nicht vor. Entgegen der Ansicht der Beschwerdeführerin bestünde weiter auch dann keine Leistungspflicht im Rahmen medizinischer Massnahmen, wenn die vorliegend strittigen Vorkehren durch diplomiertes Pflegefachpersonal der Kinderspitex vorgenommen worden wären oder hätten vorgenommen werden können. Nachdem die Vorkehren unbestritten keine medizinische Spezialausbildung erfordern, wäre die Leistungserbringung durch Fachpersonal der Kinderspitex als Entlastungsmassnahme für die Eltern zu qualifizieren und daher ebenfalls nicht zu vergüten (vgl. E. 3.1.2 hievor). Eine Grundrechtsverletzung ist nicht ersichtlich.</w:t>
      </w:r>
    </w:p>
    <w:p>
      <w:r>
        <w:rPr>
          <w:b/>
        </w:rPr>
        <w:t>E. 3.2.2</w:t>
      </w:r>
    </w:p>
    <w:p>
      <w:r>
        <w:t>Auf den Grundsatz von Treu und Glauben respektive eine Besitzstandsgarantie kann sich die Beschwerdeführerin schliesslich nicht berufen. Wie sie selbst anerkennt, erfolgte die Kostengutsprache für das Jahr 2018 unter dem Vorbehalt ihrer jederzeitigen Revidierbarkeit (bis auf Widerruf ohne Präjudiz und Anerkennung einer Rechtspflicht). Damit durfte nicht in guten Treuen davon ausgegangen werden, dass auch 2019 eine Kostengutsprache erfolgen würde - dies trotz erfolgter Tarifvereinbarung, schweigt das besagte E-Mailschreiben vom 5. Juni 2019 doch zu einer Leistungsübernahme. Willkür ( Art. 9 BV ) liegt nicht vor. Weiterungen erübrigen sich.</w:t>
      </w:r>
    </w:p>
    <w:p>
      <w:r>
        <w:rPr>
          <w:b/>
        </w:rPr>
        <w:t>E. 3.2.3</w:t>
      </w:r>
    </w:p>
    <w:p>
      <w:r>
        <w:t>Sofern die Beschwerdeführerin schliesslich den unzulässigen Ausschluss von Grundpflegeleistungen von der Leistungspflicht der Geburtsgebrechensversicherung rügt, wird sie auf die in Erwägung 3.1.2 hievor dargelegte höchstrichterliche Rechtsprechung verwiesen, wonach bei Hauspflege vorgenommene Vorkehren, deren Durchführung keine medizinische Berufsqualifikation erfordert, gegebenenfalls einen Anspruch auf eine Hilflosenentschädigung und auf einen Intensivpflegezuschlag begründen. Mit ihrem diesbezüglich allgemein gehaltenen Gesuch um vorfrageweise Überprüfung der Geburtsgebrechensverordnung, des Kreisschreibens über medizinische Massnahmen und der Rundschreiben Nr. 394, 384, 379 und 362 auf ihre Gesetzes- und Verfassungsmässigkeit, vermag sie keine Begründung für die von ihr im Ergebnis begehrte Rechtsprechungsänderung zu liefern.</w:t>
      </w:r>
    </w:p>
    <w:p>
      <w:r>
        <w:rPr>
          <w:b/>
        </w:rPr>
        <w:t>E. 3.2.4</w:t>
      </w:r>
    </w:p>
    <w:p>
      <w:r>
        <w:t>Zusammenfassend ist festzuhalten, dass die Beschwerdeführerin keine Einwände erhebt, die den angefochtenen Entscheid rechtsfehlerhaft erscheinen liessen. Die Beschwerde ist unbegründet.</w:t>
      </w:r>
    </w:p>
    <w:p>
      <w:r>
        <w:rPr>
          <w:b/>
        </w:rPr>
        <w:t>E. 4</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