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310/2010 vom 5. Juli 2010</w:t>
      </w:r>
    </w:p>
    <w:p>
      <w:r>
        <w:t>Bundesgericht, 2010-07-05, DE</w:t>
      </w:r>
    </w:p>
    <w:p>
      <w:r>
        <w:rPr>
          <w:b/>
        </w:rPr>
        <w:t xml:space="preserve">Quelle: </w:t>
      </w:r>
      <w:r>
        <w:t>https://mcp.opencaselaw.ch/entscheid/bger_9C_310_2010</w:t>
      </w:r>
    </w:p>
    <w:p>
      <w:r>
        <w:t>FR: TF 9C 310/2010 du 5 juillet 2010</w:t>
      </w:r>
    </w:p>
    <w:p>
      <w:r>
        <w:t>IT: TF 9C 310/2010 del 5 luglio 2010</w:t>
      </w:r>
    </w:p>
    <w:p>
      <w:pPr>
        <w:pStyle w:val="Heading2"/>
      </w:pPr>
      <w:r>
        <w:t>Regeste</w:t>
      </w:r>
    </w:p>
    <w:p>
      <w:r>
        <w:t>Invalidenversicherung | Invalidenversicherung</w:t>
      </w:r>
    </w:p>
    <w:p>
      <w:pPr>
        <w:pStyle w:val="Heading2"/>
      </w:pPr>
      <w:r>
        <w:t>Erwägungen</w:t>
      </w:r>
    </w:p>
    <w:p>
      <w:r>
        <w:rPr>
          <w:b/>
        </w:rPr>
        <w:t>E. 1.1</w:t>
      </w:r>
    </w:p>
    <w:p>
      <w:r>
        <w:t>Das Sozialversicherungsgericht des Kantons Zürich erkannte, der psychische Gesundheitszustand des Versicherten habe sich im Zeitraum zwischen der Ablehnung des Anspruchs auf eine Invalidenrente anfangs 2004 und der strittigen Verfügung vom 21. August 2008 nicht in rentenbegründendem Ausmass verschlechtert. Gegenüber den (auf den psychischen Gesundheitszustand bezogenen) Feststellungen im Gutachten des Instituts X.________ vom 2. Juni 2003 seien im psychiatrischen Gutachten des Dr. C.________ vom 2. April 2008 keine massgebenden Änderungen ausgewiesen. Die beiden psychiatrischen Expertisen stimmten in den wesentlichen Punkten überein und vermittelten ein ähnliches Bild vom Versicherten.</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1.3</w:t>
      </w:r>
    </w:p>
    <w:p>
      <w:r>
        <w:t>Die Vorinstanz hat die für die Beurteilung des Leistungsanspruchs bei einer Neuanmeldung einschlägigen Rechtsgrundlagen und die dazu ergangene Rechtsprechung zutreffend dargelegt. Darauf wird verwiesen.</w:t>
      </w:r>
    </w:p>
    <w:p>
      <w:r>
        <w:rPr>
          <w:b/>
        </w:rPr>
        <w:t>E. 2.1</w:t>
      </w:r>
    </w:p>
    <w:p>
      <w:r>
        <w:t>In der Beschwerdeschrift wird geltend gemacht, der angefochtene Entscheid verkenne, dass die Folgen der Schmerzstörung nach gutachtlicher Einschätzung allenfalls nach einer längerdauernden stationären Behandlung überwindbar seien. Dieses Vorbringen des Beschwerdeführers bezieht sich auf vorinstanzliche Feststellungen über den Gesundheitsschaden und die Arbeitsfähigkeit, somit auf bundesgerichtlich nur eingeschränkt überprüfbare Tatfragen.</w:t>
      </w:r>
    </w:p>
    <w:p>
      <w:r>
        <w:rPr>
          <w:b/>
        </w:rPr>
        <w:t>E. 2.2</w:t>
      </w:r>
    </w:p>
    <w:p>
      <w:r>
        <w:t>Der Sachverständige Dr. C.________ berichtet zwar von einer vollständigen Arbeitsunfähigkeit. Gleichzeitig aber führt er aus, eine Schmerzüberwindung scheine aufgrund der massgebenden Kriterien (vgl. BGE 131 V 49 ) nicht unzumutbar. Mit diesen beiden auf den ersten Blick widersprüchlichen Angaben brachte der Gutachter offenbar zum Ausdruck, dass eine allgemein medizinische und eine spezifisch versicherungsmedizinische Sichtweise zu je ganz unterschiedlichen Einschätzungen betreffend die funktionellen Folgen des Gesundheitsschadens führen. Dieser Thematik braucht indessen hier nicht weiter nachgegangen zu werden (vgl. dazu SVR 2008 IV Nr. 6 S. 14 E. 5.4, I 629/06, und 2007 IV Nr. 33 S. 117 E. 5.2, I 738/05). Im neuanmeldungsrechtlichen Zusammenhang ist für den Ausgang des Prozesses allein entscheidend, dass dem Gutachten vom 2. April 2008 wohl eine andere diagnostische Erfassung des Zustandsbildes, aber keine Verschlechterung gegenüber dem Vorzustand im Zeitpunkt der Begutachtung im Jahr 2003 zu entnehmen ist; der Grad der Arbeitsunfähigkeit sei seit September 2003 konstant geblieben (vgl. S. 84 des Gutachtens vom 2. April 2008). Das Vorbringen des Beschwerdeführers, die zur Überwindung der somatoformen Schmerzstörung notwendige Willensanstrengung setze nach gutachtlicher Einschätzung eine längerdauernde Therapie voraus, ändert daran nichts; der Sachverständige stellt lediglich klar, dass "zur Prognose und zur subjektiven Motivation und Willensanstrengung der versicherten Person, wieder einer Arbeitstätigkeit nachzugehen", erst nach einer "stationären langfristigen psychopharmakologischen Therapie auf einer psychosomatischen Abteilung" Stellung genommen werden könne (Gutachten vom 2. April 2008, S. 82 und 84). Dies beeinflusst die im Rahmen der massgeblichen Einzelfallumstände objektiviert zu betrachtende Frage der grundsätzlichen Überwindbarkeit nicht.</w:t>
      </w:r>
    </w:p>
    <w:p>
      <w:r>
        <w:rPr>
          <w:b/>
        </w:rPr>
        <w:t>E. 2.3</w:t>
      </w:r>
    </w:p>
    <w:p>
      <w:r>
        <w:t>Die Feststellungen des kantonalen Gerichts, namentlich betreffend das Fehlen einer anspruchserheblichen Änderung des psychischen Gesundheitsschadens, sind nicht offensichtlich unrichtig. Die vorinstanzliche Würdigung des medizinischen Dossiers weist keine augenfälligen Mängel auf, welche eine offensichtliche Unrichtigkeit oder eine Unvollständigkeit der entsprechenden Feststellungen begründen könnten (vgl. oben E. 1.2). Mithin ist die vorinstanzliche Schlussfolgerung, eine anspruchserhebliche Änderung des Gesundheitsschadens sei nicht ausgewiesen, nicht zu beanstanden.</w:t>
      </w:r>
    </w:p>
    <w:p>
      <w:r>
        <w:rPr>
          <w:b/>
        </w:rPr>
        <w:t>E. 3</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4</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