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9C_30/2023 vom 7. März 2023</w:t>
      </w:r>
    </w:p>
    <w:p>
      <w:r>
        <w:t>Bundesgericht, 2023-03-07, DE</w:t>
      </w:r>
    </w:p>
    <w:p>
      <w:r>
        <w:rPr>
          <w:b/>
        </w:rPr>
        <w:t xml:space="preserve">Quelle: </w:t>
      </w:r>
      <w:r>
        <w:t>https://mcp.opencaselaw.ch/entscheid/bger_9C_30_2023</w:t>
      </w:r>
    </w:p>
    <w:p>
      <w:r>
        <w:t>FR: TF 9C_30/2023 du 7 mars 2023</w:t>
      </w:r>
    </w:p>
    <w:p>
      <w:r>
        <w:t>IT: TF 9C_30/2023 del 7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9C_30/2023</w:t>
      </w:r>
    </w:p>
    <w:p>
      <w:r>
        <w:t>Urteil vom 7. März 2023</w:t>
      </w:r>
    </w:p>
    <w:p>
      <w:r>
        <w:t>III. öffentlich-rechtliche Abteilung</w:t>
      </w:r>
    </w:p>
    <w:p>
      <w:r>
        <w:t>Besetzung</w:t>
      </w:r>
    </w:p>
    <w:p>
      <w:r>
        <w:t>Bundesrichter Stadelmann, als Einzelrichter,</w:t>
      </w:r>
    </w:p>
    <w:p>
      <w:r>
        <w:t>Gerichtsschreiber Businger.</w:t>
      </w:r>
    </w:p>
    <w:p>
      <w:r>
        <w:t>Verfahrensbeteiligte</w:t>
      </w:r>
    </w:p>
    <w:p>
      <w:r>
        <w:t>Stadt Zürich, vertreten durch die Kommission für die Grundsteuern der Stadt Zürich, Werdstrasse 75, 8022 Zürich,</w:t>
      </w:r>
    </w:p>
    <w:p>
      <w:r>
        <w:t>Beschwerdeführerin,</w:t>
      </w:r>
    </w:p>
    <w:p>
      <w:r>
        <w:t>gegen</w:t>
      </w:r>
    </w:p>
    <w:p>
      <w:r>
        <w:t>A.________ AG,</w:t>
      </w:r>
    </w:p>
    <w:p>
      <w:r>
        <w:t>vertreten durch ADB Altorfer Duss &amp; Beilstein AG,</w:t>
      </w:r>
    </w:p>
    <w:p>
      <w:r>
        <w:t>Beschwerdegegner.</w:t>
      </w:r>
    </w:p>
    <w:p>
      <w:r>
        <w:t>Gegenstand</w:t>
      </w:r>
    </w:p>
    <w:p>
      <w:r>
        <w:t>Grundstückgewinnsteuer,</w:t>
      </w:r>
    </w:p>
    <w:p>
      <w:r>
        <w:t>Beschwerde gegen das Urteil des Verwaltungsgerichts des Kantons Zürich vom 30. November 2022 (SB.2022.00068/SB.2022.00069).</w:t>
      </w:r>
    </w:p>
    <w:p>
      <w:r>
        <w:t>Nach Einsicht</w:t>
      </w:r>
    </w:p>
    <w:p>
      <w:r>
        <w:t>in die Beschwerde der Stadt Zürich vom 13. Januar 2023 gegen das Urteil des Verwaltungsgerichts des Kantons Zürich vom 30. November 2022 betreffend Grundstückgewinnsteuer,</w:t>
      </w:r>
    </w:p>
    <w:p>
      <w:r>
        <w:t>in das Schreiben der Stadt Zürich vom 21. Februar 2023, worin diese den vorbehaltlosen Rückzug der Beschwerde erklärt,</w:t>
      </w:r>
    </w:p>
    <w:p>
      <w:r>
        <w:t>in Erwägung,</w:t>
      </w:r>
    </w:p>
    <w:p>
      <w:r>
        <w:t>dass das Bundesgericht aufgrund der Beschwerde das Verfahren 9C_30/2023 eröffnet hat,</w:t>
      </w:r>
    </w:p>
    <w:p>
      <w:r>
        <w:t>dass der Instruktionsrichter als Einzelrichter über die Abschreibung von Verfahren zufolge Gegenstandslosigkeit, Rückzugs oder Vergleichs entscheidet ( Art. 32 Abs. 2 BGG ),</w:t>
      </w:r>
    </w:p>
    <w:p>
      <w:r>
        <w:t>dass die Beschwerdeführerin durch den Beschwerderückzug als unterliegende Partei gilt und die reduzierten Gerichtskosten zu tragen hat ( Art. 66 Abs. 1 und 4 BGG ),</w:t>
      </w:r>
    </w:p>
    <w:p>
      <w:r>
        <w:t>dass das Bundesgericht keine Vernehmlassungen eingeholt hat, weshalb keine Parteientschädigung geschuldet ist ( Art. 68 Abs. 1 und 2 BGG ),</w:t>
      </w:r>
    </w:p>
    <w:p>
      <w:r>
        <w:t>erkennt der Einzelrichter: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1'000.- werden der Beschwerdeführerin auferlegt.</w:t>
      </w:r>
    </w:p>
    <w:p>
      <w:r>
        <w:t>3.</w:t>
      </w:r>
    </w:p>
    <w:p>
      <w:r>
        <w:t>Dieses Urteil wird den Parteien und dem Verwaltungsgericht des Kantons Zürich, 2. Abteilung, schriftlich mitgeteilt.</w:t>
      </w:r>
    </w:p>
    <w:p>
      <w:r>
        <w:t>Luzern, 7. März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Der Gerichtsschreiber: Businger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