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30/2008 vom 11. Februar 2008</w:t>
      </w:r>
    </w:p>
    <w:p>
      <w:r>
        <w:t>Bundesgericht, 2008-02-11, FR</w:t>
      </w:r>
    </w:p>
    <w:p>
      <w:r>
        <w:rPr>
          <w:b/>
        </w:rPr>
        <w:t xml:space="preserve">Quelle: </w:t>
      </w:r>
      <w:r>
        <w:t>https://mcp.opencaselaw.ch/entscheid/bger_9C_30_2008</w:t>
      </w:r>
    </w:p>
    <w:p>
      <w:r>
        <w:t>FR: TF 9C 30/2008 du 11 février 2008</w:t>
      </w:r>
    </w:p>
    <w:p>
      <w:r>
        <w:t>IT: TF 9C 30/2008 del 11 febbraio 2008</w:t>
      </w:r>
    </w:p>
    <w:p>
      <w:pPr>
        <w:pStyle w:val="Heading2"/>
      </w:pPr>
      <w:r>
        <w:t>Regeste</w:t>
      </w:r>
    </w:p>
    <w:p>
      <w:r>
        <w:t>Assurance-invalidité | Assurance-invalidité</w:t>
      </w:r>
    </w:p>
    <w:p>
      <w:pPr>
        <w:pStyle w:val="Heading2"/>
      </w:pPr>
      <w:r>
        <w:t>Erwägungen</w:t>
      </w:r>
    </w:p>
    <w:p>
      <w:r>
        <w:rPr>
          <w:b/>
        </w:rPr>
        <w:t>E. 1</w:t>
      </w:r>
    </w:p>
    <w:p>
      <w:r>
        <w:t>En tant qu'il renvoie la cause à l'administration pour complément d'instruction, le jugement attaqué constitue une décision incidente au sens de l' art. 93 LTF ( ATF 133 V 477 consid. 4.2 p. 481). Le recours contre une telle décision n'est recevable que si celle-ci peut causer un préjudice irréparable (al.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w:t>
      </w:r>
    </w:p>
    <w:p>
      <w:r>
        <w:rPr>
          <w:b/>
        </w:rPr>
        <w:t>E. 2.1</w:t>
      </w:r>
    </w:p>
    <w:p>
      <w:r>
        <w:t>Un préjudice irréparable au sens de l' art. 93 al. 1 let. a LTF est un dommage de nature juridique qui ne peut pas être réparé ultérieurement par un jugement final ou une autre décision favorable au recourant ( ATF 133 IV 139 consid. 4 p. 141, 288 consid. 3.1 p. 291). En revanche, un dommage de pur fait, comme la prolongation de la procédure ou un accroissement des frais de celle-ci, n'est pas considéré comme irréparable ( ATF 131 I 57 consid. 1 et les arrêts cités p. 59). Les décisions relatives à l'administration des preuves ne sont en principe pas de nature à causer aux intéressés un dommage juridique irréparable (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w:t>
      </w:r>
    </w:p>
    <w:p>
      <w:r>
        <w:rPr>
          <w:b/>
        </w:rPr>
        <w:t>E. 2.2</w:t>
      </w:r>
    </w:p>
    <w:p>
      <w:r>
        <w:t>L'ouverture du recours, prévue pour des motifs d'économie de procédure ( art. 93 al. 1 let. b LTF ),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 art. 93 al. 3 LTF ).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w:t>
      </w:r>
    </w:p>
    <w:p>
      <w:r>
        <w:rPr>
          <w:b/>
        </w:rPr>
        <w:t>E. 2.3</w:t>
      </w:r>
    </w:p>
    <w:p>
      <w:r>
        <w:t>En l'espèce, le recourant n'établit pas que la décision incidente lui causerait un dommage irréparable ou qu'une décision finale immédiate permettrait d'éviter une procédure probatoire longue et coûteuse. On ne saurait non plus le suivre lorsqu'il soutient que le renvoi de la cause à l'administration pour instruction complémentaire et nouvelle décision serait constitutif d'un retard injustifié à statuer assimilable à un déni de justice formel prohibé par l' art. 29 al. 1 Cst. (cf. ATF 130 V 90 consid. 1 et les arrêts cités p. 92), car cela permettrait à l'administration, quelle que soient les circonstances, de faire examiner le litige au fond et viderait par conséquent de son sens l' art. 93 LTF .</w:t>
      </w:r>
    </w:p>
    <w:p>
      <w:r>
        <w:rPr>
          <w:b/>
        </w:rPr>
        <w:t>E. 2.4</w:t>
      </w:r>
    </w:p>
    <w:p>
      <w:r>
        <w:t>Dans la mesure où aucune des hypothèses prévues à l' art. 93 LTF n'est réalisée, le recours doit être déclaré irrecevable, ce qui rend sans objet la demande d'effet suspensif présenté par le recourant.</w:t>
      </w:r>
    </w:p>
    <w:p>
      <w:r>
        <w:rPr>
          <w:b/>
        </w:rPr>
        <w:t>E. 3</w:t>
      </w:r>
    </w:p>
    <w:p>
      <w:r>
        <w:t>Vu l'issue du recours, les frais judiciaires doivent être mis à la charge de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