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308/2010 vom 25. März 2011</w:t>
      </w:r>
    </w:p>
    <w:p>
      <w:r>
        <w:t>Bundesgericht, 2011-03-25, FR</w:t>
      </w:r>
    </w:p>
    <w:p>
      <w:r>
        <w:rPr>
          <w:b/>
        </w:rPr>
        <w:t xml:space="preserve">Quelle: </w:t>
      </w:r>
      <w:r>
        <w:t>https://mcp.opencaselaw.ch/entscheid/bger_9C_308_2010</w:t>
      </w:r>
    </w:p>
    <w:p>
      <w:r>
        <w:t>FR: TF 9C 308/2010 du 25 mars 2011</w:t>
      </w:r>
    </w:p>
    <w:p>
      <w:r>
        <w:t>IT: TF 9C 308/2010 del 25 marzo 2011</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sans être limité par les arguments du recourant, ni par la motivation de l'autorité précédente; il peut donc admettre un recours pour d'autres motifs que ceux invoqués et le rejeter par une argumentation autre que celle de l'autorité précédente (cf. ATF 133 V 515 consid. 1.3 p. 519; 130 III 136 consid. 1.4 p. 140). Il n'examine en principe que les griefs allégués, eu égard à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auquel cas il peut les rectifier ou les compléter d'office ( art. 105 al. 2 LTF ). Le recourant ne peut critiquer la constatation des faits importants pour le jugement de la cause que si ceux-ci ont été constatés de façon manifestement inexacte - notion qui correspond à celle d'arbitraire (cf. ATF 134 V 53 consid. 4.3 p. 62; 133 II 249 consid. 1.2.2 p. 252; 129 I 8 consid. 2.1 p. 9) - ou en violation du droit au sens de l' art. 95 LTF et si la correction du vice peut influer sur le sort de la cause ( art. 97 al. 1 LTF ). Conformément à la pratique qui prévalait en matière de recours de droit public, l' art. 106 al. 2 LTF exige que la violation des droits fondamentaux soit explicitement soulevée et clairement exposée dans le mémoire de recours (cf. ATF 130 I 26 consid. 2.1 p. 31, 258 consid. 1.3 p. 261).</w:t>
      </w:r>
    </w:p>
    <w:p>
      <w:r>
        <w:rPr>
          <w:b/>
        </w:rPr>
        <w:t>E. 2.1</w:t>
      </w:r>
    </w:p>
    <w:p>
      <w:r>
        <w:t>La recourante fait principalement grief au Tribunal administratif fédéral d'avoir violé son droit d'être entendue.</w:t>
      </w:r>
    </w:p>
    <w:p>
      <w:r>
        <w:rPr>
          <w:b/>
        </w:rPr>
        <w:t>E. 2.2</w:t>
      </w:r>
    </w:p>
    <w:p>
      <w:r>
        <w:t>Il apparaît effectivement que la juridiction de première instance a transmis à l'assurée, simultanément à la notification de son jugement, un double de la détermination de l'office AI-E et une copie de la correspondance entre l'office AI-E et l'office AI-N postérieure à la décision censée remplacer celle du 7 octobre 2009 (ch. 3 et 4 du dispositif). Ce procédé contrevient clairement l' art. 29 al. 2 Cst. dans la mesure où le droit d'être entendu comprend notamment le droit pour une partie à un procès de prendre connaissance de toutes les observations et pièces soumises au tribunal et de se déterminer à leur propos, que celles-ci contiennent ou non des nouveaux éléments de fait ou de droit et qu'elles soient concrètement ou non susceptibles d'influer sur le jugement à rendre (cf. notamment 9C_557/2008 du 3 avril 2009 consid. 3.2 et les références, non publié in ATF 135 III 289 ).</w:t>
      </w:r>
    </w:p>
    <w:p>
      <w:r>
        <w:rPr>
          <w:b/>
        </w:rPr>
        <w:t>E. 2.3</w:t>
      </w:r>
    </w:p>
    <w:p>
      <w:r>
        <w:t>Compte tenu de la nature formelle du droit d'être entendu, sa violation entraîne l'annulation du jugement attaqué indépendamment des chances de succès du recours sur le fond (cf. notamment ATF 127 V 431 consid. 3d/aa p. 437; 121 III 331 consid. 3c p. 334 sv.). La cause devrait en principe être renvoyée au Tribunal administratif fédéral pour qu'il permette à la recourante de se prononcer sur les documents annexés à son jugement. Par souci d'économie de procédure, il convient cependant de retourner le dossier à l'office intimé dès lors que, conformément à ce qu'a retenu la juridiction de première instance pour sanctionner le recours d'irrecevabilité, il n'existe effectivement aucune décision entrée en force qui statue sur le droit à une quelconque rente. La décision du 28 janvier 2004, qui accordait une rente entière pour la période courant du 1er août 2000 au 31 mai 2003, a été remplacée par la décision sur opposition du 23 juin 2006, qui se contentait d'admettre l'opposition et d'annoncer la reprise de l'instruction (au sujet de l'effet de la décision sur opposition sur la décision initiale, cf. notamment arrêt 9C_236/2010 du 10 janvier 2011 consid. 3.1 et les références). La décision subséquente du 23 mars 2007, qui octroyait une rente entière à partir du 1er mai 2006 pour des raisons psychiatriques, a été annulée par le Tribunal administratif fédéral (ch. 1 du dispositif du jugement du 4 décembre 2008), même si celui-ci constatait que l'office AI-E reconnaissait implicitement le droit à une rente entière pour la période comprise entre les mois d'août 2000 et mai 2003. Cette autorité a par ailleurs retourné le dossier à l'administration pour qu'elle réalise une expertise psychiatrique portant sur l'intensité des troubles relevant de ce domaine existant en 20002003 en lien avec ceux constatés en 2005. L'office AI-N a décidé, bien qu'il n'était pas compétent pour le faire, de ne pas mettre en oeuvre cette mesure d'instruction, sans toutefois recourir contre le jugement qui l'imposait, pour un motif (l'assurée ne remplissait plus les conditions d'assurance) qui démontre qu'il n'a pas saisi la portée de la mesure requise. Celle-ci tendait en effet à déterminer si le versement de la rente postérieurement au 31 mai 2003 pour des raisons psychiatriques était justifié et non de documenter le trouble observé en 2005. Il ressort enfin des documents déposés en première instance que la notification régulière de la décision attaquée n'a jamais eu lieu. Vu ce qui précède, l'administration devra mettre en oeuvre l'expertise requise par le jugement du 4 décembre 2008, se prononcer non seulement sur l'influence de l'affection somatique durant la période allant du 1er août 2000 au 31 mai 2003 mais aussi sur l'influence d'une éventuelle affection psychique durant cette même période et postérieurement à celle-ci et notifier dans les meilleurs délais une décision régulière.</w:t>
      </w:r>
    </w:p>
    <w:p>
      <w:r>
        <w:rPr>
          <w:b/>
        </w:rPr>
        <w:t>E. 3</w:t>
      </w:r>
    </w:p>
    <w:p>
      <w:r>
        <w:t>Vu l'issue du litige, les frais judiciaires sont mis à la charge de l'office intimé ( art. 66 al. 1 LTF ) qui versera à la recourante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