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303/2011 vom 28. November 2011</w:t>
      </w:r>
    </w:p>
    <w:p>
      <w:r>
        <w:t>Bundesgericht, 2011-11-28, FR</w:t>
      </w:r>
    </w:p>
    <w:p>
      <w:r>
        <w:rPr>
          <w:b/>
        </w:rPr>
        <w:t xml:space="preserve">Quelle: </w:t>
      </w:r>
      <w:r>
        <w:t>https://mcp.opencaselaw.ch/entscheid/bger_9C_303_2011</w:t>
      </w:r>
    </w:p>
    <w:p>
      <w:r>
        <w:t>FR: TF 9C 303/2011 du 28 novembre 2011</w:t>
      </w:r>
    </w:p>
    <w:p>
      <w:r>
        <w:t>IT: TF 9C 303/2011 del 28 novembre 2011</w:t>
      </w:r>
    </w:p>
    <w:p>
      <w:pPr>
        <w:pStyle w:val="Heading2"/>
      </w:pPr>
      <w:r>
        <w:t>Regeste</w:t>
      </w:r>
    </w:p>
    <w:p>
      <w:r>
        <w:t>Prestation complémentaire à l'AVS/AI | Prestations complémentaires à l'AVS/AI</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En l'occurrence, le litige porte - d'une part - sur le droit du recourant à des prestations complémentaires, singulièrement sur le point de savoir si, et comment, doit être pris en compte le revenu d'une activité lucrative indépendante, ainsi que - d'autre part - sur la réalisation de la condition de la bonne foi dans le cadre de la remise de l'obligation de restituer.</w:t>
      </w:r>
    </w:p>
    <w:p>
      <w:r>
        <w:rPr>
          <w:b/>
        </w:rPr>
        <w:t>E. 3</w:t>
      </w:r>
    </w:p>
    <w:p>
      <w:r>
        <w:t>L'assuré conteste d'abord la façon dont la juridiction cantonale a traité les honoraires perçus en septembre 2005. Il estime que les frais d'acquisition du revenu mentionné ont été plus élevés que le revenu en soi de sorte qu'il n'y avait pas lieu d'en tenir compte. Il soutient également que, s'il fallait malgré tout retenir un revenu provenant du mandat exécuté entre 2002 et 2005, celui-ci ne pourrait être répercuté sur les années précédant son acquisition, comme cela a été le cas en l'espèce. Cette argumentation ne remet pas en cause l'acte attaqué dans la mesure où, comme l'ont constaté les premiers juges, le calcul des prestations complémentaires ne répartit nullement le montant des honoraires (moins les frais encourus et admis) perçus durant l'année 2005 sur les quatre ans qu'a duré l'exécution du mandat, mais en tient compte seulement pour l'année 2005 et se fonde, s'agissant des revenus pour activité indépendante retenus, sur les montants déclarés par le recourant aux autorités fiscales tels qu'ils ressortent des décisions de taxation - entrées en force - ou de ses propres déclarations d'impôt. On ne saurait dès lors faire grief à la juridiction cantonale d'avoir constaté les faits d'une façon manifestement inexacte ni d'avoir violé le droit fédéral.</w:t>
      </w:r>
    </w:p>
    <w:p>
      <w:r>
        <w:rPr>
          <w:b/>
        </w:rPr>
        <w:t>E. 4</w:t>
      </w:r>
    </w:p>
    <w:p>
      <w:r>
        <w:t>L'assuré conteste aussi avoir violé son obligation d'informer. Il soutient avoir annoncé le montant des honoraires perçus en lien avec l'exécution du mandat entre 2002 et 2005 dans un délai de trente jours. Cette question peut rester ouverte dès lors qu'il apparaît très clairement que le recourant n'avait déjà pas informé le bureau intimé des revenus réalisés en 2003 et 2004 qui n'ont absolument rien à voir avec les honoraires mentionnés. Compte tenu des nombreuses mises en garde figurant sur toutes les décisions et certains autres documents communiqués par l'administration, celui-ci ne saurait prétendre qu'il ignorait l'étendue de ses devoirs et s'était toujours comporté en toute bonne foi.</w:t>
      </w:r>
    </w:p>
    <w:p>
      <w:r>
        <w:rPr>
          <w:b/>
        </w:rPr>
        <w:t>E. 5</w:t>
      </w:r>
    </w:p>
    <w:p>
      <w:r>
        <w:t>Vu l'issue du litige, les frais judiciaires sont mis à charge du recourant ( art. 66 al. 1 LTF ). L'assistance judiciaire lui est toutefois octroyée dès lors que les conditions auxquelles l' art. 64 al. 1 et 2 LTF subordonne son attribution sont réalisées. L'assuré est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