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9C_302/2022 vom 23. November 2022</w:t>
      </w:r>
    </w:p>
    <w:p>
      <w:r>
        <w:t>Bundesgericht, 2022-11-23, DE</w:t>
      </w:r>
    </w:p>
    <w:p>
      <w:r>
        <w:rPr>
          <w:b/>
        </w:rPr>
        <w:t xml:space="preserve">Quelle: </w:t>
      </w:r>
      <w:r>
        <w:t>https://mcp.opencaselaw.ch/entscheid/bger_9C_302_2022</w:t>
      </w:r>
    </w:p>
    <w:p>
      <w:r>
        <w:t>FR: TF 9C_302/2022 du 23 novembre 2022</w:t>
      </w:r>
    </w:p>
    <w:p>
      <w:r>
        <w:t>IT: TF 9C_302/2022 del 23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 Erhöhung der laufenden Viertelsrente der Invalidenversicherung ablehnte.</w:t>
      </w:r>
    </w:p>
    <w:p>
      <w:r>
        <w:rPr>
          <w:b/>
        </w:rPr>
        <w:t>E. 3.1</w:t>
      </w:r>
    </w:p>
    <w:p>
      <w:r>
        <w:t>Am 1. Januar 2022 trat das revidierte Bundesgesetz über die Invalidenversicherung (IVG; SR 831.20) in Kraft (Weiterentwicklung der IV [WEIV]; Änderung vom 19. Juni 2020, AS 2021 705, BBl 2017 2535). Die hier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Die Rente wird von Amtes wegen oder auf Gesuch hin für die Zukunft entsprechend erhöht, herabgesetzt oder aufgehoben ( Art. 17 Abs. 1 ATSG [in der bis am 31. Dezember 2021 gültigen und hier anwendbaren Fassung; BGE 144 V 210 E. 4.3.1]; Art. 88a IVV ), wenn sich der Invaliditätsgrad eines Rentenbezügers erheblich ändert (vgl. auch BGE 134 V 131 E. 3).</w:t>
      </w:r>
    </w:p>
    <w:p>
      <w:r>
        <w:rPr>
          <w:b/>
        </w:rPr>
        <w:t>E. 4.1</w:t>
      </w:r>
    </w:p>
    <w:p>
      <w:r>
        <w:t>Das kantonale Gericht hat in umfassender Würdigung der medizinischen Akten, insbesondere aber - soweit die Coxarthrose betreffend - gestützt auf das Gerichtsgutachten des Dr. med. B.________ vom 23. März 2021 für das Bundesgericht grundsätzlich verbindlich festgestellt, dass sich der Gesundheitszustand des Versicherten seit der letzten Rentenüberprüfung nicht erheblich verändert hat. Was der Beschwerdeführer gegen diese Feststellung vorbringt, vermag sie nicht als willkürlich oder sonstwie bundesrechtswidrig erscheinen zu lassen. Bei Vorliegen eines Gerichtsgutachtens darf das Gericht rechtsprechungsgemäss "nicht ohne zwingende Gründe" von den Einschätzungen des medizinischen Experten abweichen ( BGE 135 V 465 E. 4.4). Solche werden in der Beschwerdeschrift nicht dargetan. Der Experte hat in seinem Gutachten ausführlich begründet, weshalb er gestützt auf die klinische Untersuchung - welche keine Hinweise auf eine Aktivierung ergab - nicht von einer wesentlichen Verschlechterung der Coxarthrose ausging. Gleichzeitig setzte sich der Experte auch mit der abweichenden Auffassung des Dr. med. D.________, Rheumatologie FMH, auseinander und legte dar, weshalb er dessen Einschätzung nicht teilt. Dass der Experte im Weiteren auch zehn Jahre nach der Erstdiagnose die Coxarthorse weiterhin als "beginnend" bezeichnet, ist entgegen den Ausführungen des Beschwerdeführers für sich alleine kein zwingender Grund, welcher ein Abweichen vom Gerichtsgutachten rechtfertigen könnte.</w:t>
      </w:r>
    </w:p>
    <w:p>
      <w:r>
        <w:rPr>
          <w:b/>
        </w:rPr>
        <w:t>E. 4.2</w:t>
      </w:r>
    </w:p>
    <w:p>
      <w:r>
        <w:t>Hat das kantonale Gericht demnach kein Bundesrecht verletzt, als es von einem im Wesentlichen unveränderten Gesundheitszustand ausging, so ist ein Revisionsgrund im Sinne von Art. 17 Abs. 1 ATSG zu verneinen. Entsprechend erübrigt sich eine neue Invaliditätsbemessung, womit auch die vom Beschwerdeführer aufgeworfene Frage, inwieweit die ihm medizinisch-theoretisch verbleibende Erwerbsfähigkeit auf dem massgebenden theoretischen ausgeglichenen Arbeitsmarkt noch verwertbar ist, nicht neu zu diskutieren ist. Die offensichtlich unbegründete Beschwerde ist daher ohne Weiterungen im vereinfachten Verfahren nach Art. 109 Abs. 2 lit. a BGG und mit summarischer Begründung im Sinne von Art. 109 Abs. 3 BGG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