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9C_302/2019 vom 4. Juli 2019</w:t>
      </w:r>
    </w:p>
    <w:p>
      <w:r>
        <w:t>Bundesgericht, 2019-07-04, FR</w:t>
      </w:r>
    </w:p>
    <w:p>
      <w:r>
        <w:rPr>
          <w:b/>
        </w:rPr>
        <w:t xml:space="preserve">Quelle: </w:t>
      </w:r>
      <w:r>
        <w:t>https://mcp.opencaselaw.ch/entscheid/bger_9C_302_2019</w:t>
      </w:r>
    </w:p>
    <w:p>
      <w:r>
        <w:t>FR: TF 9C_302/2019 du 4 juillet 2019</w:t>
      </w:r>
    </w:p>
    <w:p>
      <w:r>
        <w:t>IT: TF 9C_302/2019 del 4 luglio 2019</w:t>
      </w:r>
    </w:p>
    <w:p>
      <w:pPr>
        <w:pStyle w:val="Heading2"/>
      </w:pPr>
      <w:r>
        <w:t>Volltext</w:t>
      </w:r>
    </w:p>
    <w:p>
      <w:r>
        <w:t>Bundesgericht</w:t>
      </w:r>
    </w:p>
    <w:p>
      <w:r>
        <w:t>Tribunal fédéral</w:t>
      </w:r>
    </w:p>
    <w:p>
      <w:r>
        <w:t>Tribunale federale</w:t>
      </w:r>
    </w:p>
    <w:p>
      <w:r>
        <w:t>Tribunal federal</w:t>
      </w:r>
    </w:p>
    <w:p>
      <w:r>
        <w:t>9C_302/2019</w:t>
      </w:r>
    </w:p>
    <w:p>
      <w:r>
        <w:t>Arrêt du 4 juillet 2019</w:t>
      </w:r>
    </w:p>
    <w:p>
      <w:r>
        <w:t>IIe Cour de droit social</w:t>
      </w:r>
    </w:p>
    <w:p>
      <w:r>
        <w:t>Composition</w:t>
      </w:r>
    </w:p>
    <w:p>
      <w:r>
        <w:t>Mme la Juge fédérale Pfiffner, Présidente.</w:t>
      </w:r>
    </w:p>
    <w:p>
      <w:r>
        <w:t>Greffier : M. Berthoud.</w:t>
      </w:r>
    </w:p>
    <w:p>
      <w:r>
        <w:t>Participants à la procédure</w:t>
      </w:r>
    </w:p>
    <w:p>
      <w:r>
        <w:t>A.________,</w:t>
      </w:r>
    </w:p>
    <w:p>
      <w:r>
        <w:t>recourant,</w:t>
      </w:r>
    </w:p>
    <w:p>
      <w:r>
        <w:t>contre</w:t>
      </w:r>
    </w:p>
    <w:p>
      <w:r>
        <w:t>ASSURA-Basis SA,</w:t>
      </w:r>
    </w:p>
    <w:p>
      <w:r>
        <w:t>En Budron A1, 1052 Le Mont-sur-Lausanne,</w:t>
      </w:r>
    </w:p>
    <w:p>
      <w:r>
        <w:t>intimée.</w:t>
      </w:r>
    </w:p>
    <w:p>
      <w:r>
        <w:t>Objet</w:t>
      </w:r>
    </w:p>
    <w:p>
      <w:r>
        <w:t>Assurance-maladie,</w:t>
      </w:r>
    </w:p>
    <w:p>
      <w:r>
        <w:t>recours contre le jugement de la Cour de justice de la République et canton de Genève, Chambre des assurances sociales, du 9 avril 2019 (A/2133/2018 ATAS/299/2019).</w:t>
      </w:r>
    </w:p>
    <w:p>
      <w:r>
        <w:t>Vu :</w:t>
      </w:r>
    </w:p>
    <w:p>
      <w:r>
        <w:t>le recours que A.________ a interjeté le 10 mai 2019(timbre postal) contre le jugement de la Cour de justice de la République et canton de Genève, Chambre des assurances sociales, du 9 avril 2019,</w:t>
      </w:r>
    </w:p>
    <w:p>
      <w:r>
        <w:t>la lettre du 13 mai 2019, restée sans réponse,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 le recours contient des conclusions suffisantes, lesquelles portent sur le remboursement de plusieurs factures médicales,</w:t>
      </w:r>
    </w:p>
    <w:p>
      <w:r>
        <w:t>qu'en revanche, on ne peut pas déduire du mémoire de recours en quoi les constatations de fait des premiers juges seraient inexactes, au sens de l' art. 97 al. 1 LTF , dans la mesure où il a été retenu que le recourant n'avait pas transmis à l'intimée les factures en cause dans les cinq ans à compter de leur réception,</w:t>
      </w:r>
    </w:p>
    <w:p>
      <w:r>
        <w:t>que par ailleurs, on ne comprend pas non plus, à défaut d'une motivation suffisante, en quoi la juridiction cantonale aurait violé le droit fédéral ( art. 24 al. 1 LPGA ) en jugeant que le droit au remboursement était périmé,</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4 juillet 2019</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