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301/2013 vom 4. September 2013</w:t>
      </w:r>
    </w:p>
    <w:p>
      <w:r>
        <w:t>Bundesgericht, 2013-09-04, FR</w:t>
      </w:r>
    </w:p>
    <w:p>
      <w:r>
        <w:rPr>
          <w:b/>
        </w:rPr>
        <w:t xml:space="preserve">Quelle: </w:t>
      </w:r>
      <w:r>
        <w:t>https://mcp.opencaselaw.ch/entscheid/bger_9C_301_2013</w:t>
      </w:r>
    </w:p>
    <w:p>
      <w:r>
        <w:t>FR: TF 9C 301/2013 du 4 septembre 2013</w:t>
      </w:r>
    </w:p>
    <w:p>
      <w:r>
        <w:t>IT: TF 9C 301/2013 del 4 settembre 2013</w:t>
      </w:r>
    </w:p>
    <w:p>
      <w:pPr>
        <w:pStyle w:val="Heading2"/>
      </w:pPr>
      <w:r>
        <w:t>Regeste</w:t>
      </w:r>
    </w:p>
    <w:p>
      <w:r>
        <w:t>Assurance-invalidité (rente d'invalidité) | Assurance-invalidité</w:t>
      </w:r>
    </w:p>
    <w:p>
      <w:pPr>
        <w:pStyle w:val="Heading2"/>
      </w:pPr>
      <w:r>
        <w:t>Erwägungen</w:t>
      </w:r>
    </w:p>
    <w:p>
      <w:r>
        <w:rPr>
          <w:b/>
        </w:rPr>
        <w:t>E. 1</w:t>
      </w:r>
    </w:p>
    <w:p>
      <w:r>
        <w:t>L'évaluation de l'invalidité effectuée par les organes de l'assurance-invalidité est de nature à toucher (directement), au sens de l' art. 49 al. 4 LPGA , l'obligation de prester de l'institution de prévoyance fondée sur le droit de la prévoyance professionnelle (obligatoire), sous l'angle de son principe même ou du montant ou de la durée de l'obligation (cf. art. 23 ss LPP ). Aussi, les organes de la prévoyance professionnelle ont-ils la qualité pour recourir contre la décision de l'office AI sur le droit à la rente d'invalidité; de même, l'institution de prévoyance a la qualité pour interjeter un recours en matière de droit public au Tribunal fédéral contre une décision d'un tribunal cantonal des assurances en la matière ( ATF 132 V 1 consid. 3.3.1 p. 5; cf. art. 89 al. 1 LTF ). Le recours de GastroSocial Caisse de pension est dès lors recevable.</w:t>
      </w:r>
    </w:p>
    <w:p>
      <w:r>
        <w:rPr>
          <w:b/>
        </w:rPr>
        <w:t>E. 2</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Le jugement entrepris, auquel on peut renvoyer sur ce point, expose de manière complète les règles légales et la jurisprudence applicables au litige - qui porte sur le droit de l'assuré à une rente entière de l'assurance-invalidité -, notamment celles sur le principe de la libre appréciation des preuves. On ajoutera que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4.6 p. 471; arrêt 8C_456/2010 du 19 avril 2011 consid. 3).</w:t>
      </w:r>
    </w:p>
    <w:p>
      <w:r>
        <w:rPr>
          <w:b/>
        </w:rPr>
        <w:t>E. 4.1</w:t>
      </w:r>
    </w:p>
    <w:p>
      <w:r>
        <w:t>Par un premier moyen de nature formelle, la recourante invoque une violation de son droit d'être entendue par la juridiction cantonale à qui elle reproche de n'avoir pas mis en oeuvre une expertise médicale compte tenu des moyens de preuves qu'elle avait produits, ni répondu à l'ensemble de ses griefs.</w:t>
      </w:r>
    </w:p>
    <w:p>
      <w:r>
        <w:rPr>
          <w:b/>
        </w:rPr>
        <w:t>E. 4.2</w:t>
      </w:r>
    </w:p>
    <w:p>
      <w:r>
        <w:t>Le droit d'être entendu garanti par l' art. 29 al. 2 Cst. comprend notamment le droit pour le justiciable d'obtenir qu'il soit donné suite à ses offres de preuves pertinentes, ainsi que le devoir pour l'autorité de motiver sa décision, afin que le destinataire puisse la comprendre, la contester utilement s'il y a lieu et que l'autorité de recours puisse exercer son contrôle. Le droit d'être entendu ne s'oppose cependant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 ATF 136 I 229 consid. 5.3 p. 236; 134 I 140 consid. 5.3 p. 148). Par ailleurs, pour répondre aux exigences de motivation, il suffit que l'autorité mentionne au moins brièvement les motifs qui l'ont guidée et sur lesquels elle a fondé sa décision; elle n'a toutefois pas l'obligation d'exposer et de discuter tous les arguments invoqués par les parties ( ATF 129 I 232 consid. 3.2 p. 236; 126 I 97 consid. 2b p. 102 s.). En l'occurrence, le jugement attaqué indique de manière suffisamment claire les motifs retenus, même s'il ne prend pas position sur tous les arguments invoqués dans le recours. Sous l'angle de l'obligation de motivation, le grief de violation du droit d'être entendu se révèle ainsi mal fondé. Par ailleurs, en reprochant à la juridiction cantonale d'avoir écarté le rapport du docteur S.________ pour privilégier celui du docteur C.________, sans donner suite à sa requête en expertise, la recourante soulève un grief qui se confond avec un moyen concernant la libre appréciation des preuves par le Tribunal cantonal des assurances ( art. 61 let. a LPGA ). Il convient donc de l'examiner avec le fond du litige.</w:t>
      </w:r>
    </w:p>
    <w:p>
      <w:r>
        <w:rPr>
          <w:b/>
        </w:rPr>
        <w:t>E. 5</w:t>
      </w:r>
    </w:p>
    <w:p>
      <w:r>
        <w:t>Comme le fait valoir à juste titre la recourante, l'appréciation des preuves à laquelle a procédé la juridiction cantonale pour constater que l'assuré présentait une incapacité totale de travail relève d'une violation du principe de la libre appréciation des preuves. Exposant les raisons qui les conduisaient à suivre les conclusions du docteur C.________ et non celles du docteur S.________, les premiers juges ont indiqué que la divergence entre les deux psychiatres portait "uniquement" sur l'appréciation du degré de gravité du trouble dépressif récurrent présenté par l'assuré, ainsi que sur la capacité résiduelle de travail, l'évaluation médicale complète du médecin du SMR ne pouvant être remise en cause par la seule opinion du docteur S.________. Dès lors toutefois que la juridiction cantonale se voyait confrontée à deux appréciations médicales opposées - dont elle admettait pleinement la valeur probante - sur des éléments aussi déterminants pour l'évaluation de l'invalidité que la gravité de l'atteinte à la santé de l'assuré et les répercussions de celle-ci sur sa capacité de travail, elle ne pouvait faire l'économie d'une nouvelle mesure d'instruction médicale. A la lecture des rapports en cause, on constate que les premiers juges se trouvaient précisément dans la situation dans laquelle l'avis de l'expert privé mandaté par la recourante (le docteur S.________) laissait subsister des doutes suffisants quant à la fiabilité et la pertinence de l'appréciation du médecin interne à l'assureur social (le docteur C.________). Comme son confrère, l'expert privé a fait état de phénomènes psychotiques (hallucinations) relatés par l'assuré, mais les a mis en relation avec des dérivés de morphine que l'intimé avait consommés pendant un certain temps. Outre qu'il n'a retenu aucune limitation cognitive, ni trouble de la mémoire ou d'anxiété, le docteur S.________ a par ailleurs indiqué que l'assuré ne se rendait pas au suivi psychiatrique ou seulement de façon sporadique; il ne pouvait pas se prononcer sur la prise de médicaments par l'intéressé, qui affirmait faire huit à dix injections de Y.________® par jour. En tout état de cause, le médecin préconisait un traitement de désintoxication, l'injection constante d'antimigraineux limitant la capacité de l'assuré et induisant une fixation sur les douleurs. Compte tenu de ces constatations, qui n'étaient pas superposables à celles du docteur C.________, de même que des divergences en résultant quant à la sévérité du diagnostic posé et ses effets sur la capacité de travail de l'assuré entre les deux appréciations médicales, l'autorité cantonale de recours ne pouvait trancher la cause en se fondant sur l'un ou l'autre de ces avis, mais était tenue de mettre en oeuvre une expertise judiciaire pour les départager.</w:t>
      </w:r>
    </w:p>
    <w:p>
      <w:r>
        <w:rPr>
          <w:b/>
        </w:rPr>
        <w:t>E. 6</w:t>
      </w:r>
    </w:p>
    <w:p>
      <w:r>
        <w:t>Il convient, en conséquence de ce qui précède, d'annuler le jugement entrepris et de renvoyer la cause à la juridiction cantonale pour qu'elle complète l'instruction sur le plan médical, avant de se prononcer à nouveau.</w:t>
      </w:r>
    </w:p>
    <w:p>
      <w:r>
        <w:rPr>
          <w:b/>
        </w:rPr>
        <w:t>E. 7</w:t>
      </w:r>
    </w:p>
    <w:p>
      <w:r>
        <w:t>Vu l'issue de la procédure, les frais judiciaires seront mis à la charge de l'office intimé ( art. 66 al. 1 LTF ). Comme la recourante, organisation chargée de tâches publiques, obtient gain de cause dans l'exercice de ses attributions officielles, elle ne peut prétendre des dépens ( art. 68 al. 3 LTF ; ATF 128 V 124 consid. 5b p.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