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9C_29/2020 vom 16. März 2020</w:t>
      </w:r>
    </w:p>
    <w:p>
      <w:r>
        <w:t>Bundesgericht, 2020-03-16, DE</w:t>
      </w:r>
    </w:p>
    <w:p>
      <w:r>
        <w:rPr>
          <w:b/>
        </w:rPr>
        <w:t xml:space="preserve">Quelle: </w:t>
      </w:r>
      <w:r>
        <w:t>https://mcp.opencaselaw.ch/entscheid/bger_9C_29_2020</w:t>
      </w:r>
    </w:p>
    <w:p>
      <w:r>
        <w:t>FR: TF 9C_29/2020 du 16 mars 2020</w:t>
      </w:r>
    </w:p>
    <w:p>
      <w:r>
        <w:t>IT: TF 9C_29/2020 del 16 marzo 2020</w:t>
      </w:r>
    </w:p>
    <w:p>
      <w:pPr>
        <w:pStyle w:val="Heading2"/>
      </w:pPr>
      <w:r>
        <w:t>Erwägungen</w:t>
      </w:r>
    </w:p>
    <w:p>
      <w:r>
        <w:rPr>
          <w:b/>
        </w:rPr>
        <w:t>E. 4</w:t>
      </w:r>
    </w:p>
    <w:p>
      <w:r>
        <w:t>Die im Sinne von Art. 109 Abs. 2 lit. a BGG offensichtlich unbegründete Beschwerde ist im vereinfachten Verfahren abzuweisen. Entsprechend hat es bei der vorinstanzlichen Kostenverlegung sein Bewenden, zeigt der Beschwerdeführer doch nicht auf, inwiefern diese gegen Bundesrecht verstösst. Dem Verfahrensausgang entsprechend sind dem unterliegenden Beschwerdeführer auch die Gerichtskosten für dieses Verfahren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