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299/2011 vom 21. November 2011</w:t>
      </w:r>
    </w:p>
    <w:p>
      <w:r>
        <w:t>Bundesgericht, 2011-11-21, FR</w:t>
      </w:r>
    </w:p>
    <w:p>
      <w:r>
        <w:rPr>
          <w:b/>
        </w:rPr>
        <w:t xml:space="preserve">Quelle: </w:t>
      </w:r>
      <w:r>
        <w:t>https://mcp.opencaselaw.ch/entscheid/bger_9C_299_2011</w:t>
      </w:r>
    </w:p>
    <w:p>
      <w:r>
        <w:t>FR: TF 9C 299/2011 du 21 novembre 2011</w:t>
      </w:r>
    </w:p>
    <w:p>
      <w:r>
        <w:t>IT: TF 9C 299/2011 del 21 novembre 2011</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En l'espèce, le litige porte sur le droit de l'intimée à une rente, en particulier sur la détermination du revenu sans invalidité et l'étendue de l'abattement du revenu d'invalide fondé sur des données statistiques.</w:t>
      </w:r>
    </w:p>
    <w:p>
      <w:r>
        <w:rPr>
          <w:b/>
        </w:rPr>
        <w:t>E. 3</w:t>
      </w:r>
    </w:p>
    <w:p>
      <w:r>
        <w:t>L'office recourant fait d'abord grief à la juridiction cantonale d'avoir violé le droit fédéral en s'écartant, sans motivation et sans raison valable, du revenu sans invalidité qu'il avait déterminé dans la décision litigieuse. Ce raisonnement est fondé dès lors que, comme l'ont justement indiqué l'administration ainsi que les premiers juges, la comparaison des revenus doit s'effectuer au moment de la naissance du droit à la rente et que ces revenus doivent être évalués le plus concrètement possible ( ATF 129 V 222 consid. 4 p. 223 ss). Or, il apparaît que l'office recourant s'est en l'occurrence référé au salaire que l'assurée, toujours sous contrat, aurait perçu en 2007, année de la naissance du droit à la rente ( art. 29 al. 1 LAI ), tel qu'attesté par l'employeur. On ne voit ainsi pas quelle autre donnée pourrait être plus concrète. Il est vrai que la jurisprudence permet de s'écarter du revenu effectivement réalisé quand des circonstances particulières existent ( ATF 129 V 222 consid. 4.3.1 p. 224); la juridiction cantonale n'en évoque toutefois aucune, de sorte qu'elle ne pouvait revenir sur le salaire retenu par l'administration sans violer le droit fédéral.</w:t>
      </w:r>
    </w:p>
    <w:p>
      <w:r>
        <w:rPr>
          <w:b/>
        </w:rPr>
        <w:t>E. 4</w:t>
      </w:r>
    </w:p>
    <w:p>
      <w:r>
        <w:t>L'office recourant reproche également aux premiers juges d'avoir retenu un abattement de 10 % du revenu d'invalide en plus de la baisse de rendement de 10 % signalée par le docteur P.________. Il estime que ce procédé revient à prendre en considération deux fois la diminution de rendement mentionnée. Ce reproche est infondé dans la mesure où les circonstances invoquées par la juridiction cantonale pour justifier une réduction supplémentaire du revenu d'invalide sont l'âge de l'intimée ainsi que les problèmes de motricité fine notamment et non le rendement. Or, de tels critères entrent précisément dans le cadre des circonstances personnelles et professionnelles pouvant justifier un abattement du revenu statistique ( ATF 126 V 75 consid. 5b p. 79 sv.) destiné à corriger les difficultés à se réinsérer dans une activité adaptée que peut, malgré tout, représenter le handicap objectivé ( ATF 126 V 75 consid. 5a p. 78 sv.). Ces critères ne se confondent de surcroît pas avec la baisse de rendement prise en compte à un autre stade de la comparaison des revenus, de sorte que les premiers juges étaient en droit de les retenir.</w:t>
      </w:r>
    </w:p>
    <w:p>
      <w:r>
        <w:rPr>
          <w:b/>
        </w:rPr>
        <w:t>E. 5</w:t>
      </w:r>
    </w:p>
    <w:p>
      <w:r>
        <w:t>Au regard de ce qui précède, le taux d'invalidité se détermine en fonction du calcul de l'administration, selon les précisions qu'elle a apportées au cours de la procédure cantonale auquel il y a lieu d'ajouter l'abattement de 10 % retenu par la juridiction cantonale, soit un degré d'invalidité de 44,52 % (33'156 - [20'440 - 2'044 (20'440 x 10 : 100)] dans la sphère professionnelle et un taux global de 42,312 %, arrondi à 42 % ( ATF 130 V 121 ).</w:t>
      </w:r>
    </w:p>
    <w:p>
      <w:r>
        <w:rPr>
          <w:b/>
        </w:rPr>
        <w:t>E. 6</w:t>
      </w:r>
    </w:p>
    <w:p>
      <w:r>
        <w:t>Vu l'issue du litige, les frais judiciaires sont mis à la charge de l'office recourant ( art. 66 al. 1 LTF ). L'intimée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