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9C_298/2007 vom 5. Juni 2008</w:t>
      </w:r>
    </w:p>
    <w:p>
      <w:r>
        <w:t>Bundesgericht, 2008-06-05, FR</w:t>
      </w:r>
    </w:p>
    <w:p>
      <w:r>
        <w:rPr>
          <w:b/>
        </w:rPr>
        <w:t xml:space="preserve">Quelle: </w:t>
      </w:r>
      <w:r>
        <w:t>https://mcp.opencaselaw.ch/entscheid/bger_9C_298_2007</w:t>
      </w:r>
    </w:p>
    <w:p>
      <w:r>
        <w:t>FR: TF 9C_298/2007 du 5 juin 2008</w:t>
      </w:r>
    </w:p>
    <w:p>
      <w:r>
        <w:t>IT: TF 9C_298/2007 del 5 giugno 2008</w:t>
      </w:r>
    </w:p>
    <w:p>
      <w:pPr>
        <w:pStyle w:val="Heading2"/>
      </w:pPr>
      <w:r>
        <w:t>Erwägungen</w:t>
      </w:r>
    </w:p>
    <w:p>
      <w:r>
        <w:rPr>
          <w:b/>
        </w:rPr>
        <w:t>E. 1</w:t>
      </w:r>
    </w:p>
    <w:p>
      <w:r>
        <w:t>L'intimé déclare s'en remettre à justice quant à la recevabilité du recours qui lui paraît tardif.</w:t>
      </w:r>
    </w:p>
    <w:p>
      <w:r>
        <w:t>Le jugement attaqué a été notifié à l'office AI le 17 avril 2007 et le recours posté le vendredi 18 mai 2007 (31e jour). Toutefois, le jeudi 17 mai 2007 étant férié (jour de l'Ascension), le délai de recours a été reporté au lendemain ( art. 45 al. 1 LTF ) si bien que le dépôt du mémoire est intervenu en temps utile ( art. 100 al. 1 LTF ).</w:t>
      </w:r>
    </w:p>
    <w:p>
      <w:r>
        <w:rPr>
          <w:b/>
        </w:rPr>
        <w:t>E. 2</w:t>
      </w:r>
    </w:p>
    <w:p>
      <w:r>
        <w:t>Les premiers juges ont reconnu à l'intimé une invalidité de 40 %. Pour cela, ils ont d'abord constaté que les limitations strictement fonctionnelles de l'intimé, attestées par différents rapports médicaux et de surcroît incontestées, occasionnaient une baisse de rendement de 20 % dans une activité à plein temps, constituant ainsi le degré de l'invalidité. Les juges cantonaux l'ont ensuite majoré de 20 % supplémentaires, en appliquant par analogie les règles jurisprudentielles relatives à la détermination du revenu d'invalide sur la base de statistiques salariales (cf. ATF 124 V 321 , 126 V 75).</w:t>
      </w:r>
    </w:p>
    <w:p>
      <w:r>
        <w:t>L'office recourant ne conteste que le principe de la majoration de 20 % du degré d'invalidité pratiquée par le tribunal cantonal, arguant du fait que les difficultés liées au handicap dont souffre l'intimé (problèmes d'élocution, troubles dyskinétiques) ont déjà été prises en compte dans la baisse de rendement fixée à 20 %, si bien qu'elles ne sauraient être retenues une seconde fois.</w:t>
      </w:r>
    </w:p>
    <w:p>
      <w:r>
        <w:t>De son côté, l'intimé soutient que l'augmentation litigieuse de 20 % ne se rapporte pas à ses limitations fonctionnelles, mais qu'elle a été opérée au titre des circonstances personnelles et professionnelles que la jurisprudence ( ATF 126 V 75 ) prévoit en cas de recours aux statistiques salariales pour déterminer le revenu d'invalide.</w:t>
      </w:r>
    </w:p>
    <w:p>
      <w:r>
        <w:rPr>
          <w:b/>
        </w:rPr>
        <w:t>E. 3.1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 ATF 128 V 30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w:t>
      </w:r>
    </w:p>
    <w:p>
      <w:r>
        <w:rPr>
          <w:b/>
        </w:rPr>
        <w:t>E. 3.2</w:t>
      </w:r>
    </w:p>
    <w:p>
      <w:r>
        <w:t>En l'occurrence, il s'agit d'évaluer l'invalidité d'un assuré qui vient d'achever sa formation profession initiale et pour lequel on ne dispose pas encore de données salariales personnelles. Le cas relève ainsi de la règle générale de l' art. 16 LPGA et non de l' art. 26 RAI .</w:t>
      </w:r>
    </w:p>
    <w:p>
      <w:r>
        <w:t>L'intimé subit une baisse de rendement de 20 % dans la profession qu'il a achevée en 2004, laquelle est médicalement adaptée et exigible. Comme cet état de fait est récent, le taux de 20 % correspond à celui de l'invalidité (comparaison en pour-cent); celui-ci ne saurait d'ailleurs être majoré en relation avec d'autres facteurs (problèmes comportementaux) dont l'AI ne répond pas.</w:t>
      </w:r>
    </w:p>
    <w:p>
      <w:r>
        <w:t>Quant à la déduction complémentaire litigieuse de 20 %, prévue par la jurisprudence ( ATF 126 V 75 ), elle ne saurait entrer en ligne de compte car l'invalidité de l'intimé n'a pas été arrêtée sur la base de statistiques salariales ( ATF 124 V 321 ). En tout état de cause, dans l'hypothèse où le revenu d'invalide aurait dû être évalué selon les données statistiques, un abattement de 20 % aurait été excessif au regard de la pratique (en particulier l'âge de l'assuré).</w:t>
      </w:r>
    </w:p>
    <w:p>
      <w:r>
        <w:t>Il s'ensuit que le jugement attaqué est contraire au droit fédéral dans la mesure où il porte le taux d'invalidité de l'intimé à 40 %. Il doit ainsi être annulé.</w:t>
      </w:r>
    </w:p>
    <w:p>
      <w:r>
        <w:rPr>
          <w:b/>
        </w:rPr>
        <w:t>E. 4</w:t>
      </w:r>
    </w:p>
    <w:p>
      <w:r>
        <w:t>La question du droit de l'intimé à une aide au placement, selon les modalités prévues au consid. 6e p. 16 in fine du jugement attaqué, n'est ni contestée ni sujette à discussion.</w:t>
      </w:r>
    </w:p>
    <w:p>
      <w:r>
        <w:rPr>
          <w:b/>
        </w:rPr>
        <w:t>E. 5</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