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9C_297/2023 vom 9. Juni 2023</w:t>
      </w:r>
    </w:p>
    <w:p>
      <w:r>
        <w:t>Bundesgericht, 2023-06-09, DE</w:t>
      </w:r>
    </w:p>
    <w:p>
      <w:r>
        <w:rPr>
          <w:b/>
        </w:rPr>
        <w:t xml:space="preserve">Quelle: </w:t>
      </w:r>
      <w:r>
        <w:t>https://mcp.opencaselaw.ch/entscheid/bger_9C_297_2023</w:t>
      </w:r>
    </w:p>
    <w:p>
      <w:r>
        <w:t>FR: TF 9C_297/2023 du 9 juin 2023</w:t>
      </w:r>
    </w:p>
    <w:p>
      <w:r>
        <w:t>IT: TF 9C_297/2023 del 9 giugno 2023</w:t>
      </w:r>
    </w:p>
    <w:p>
      <w:pPr>
        <w:pStyle w:val="Heading2"/>
      </w:pPr>
      <w:r>
        <w:t>Volltext</w:t>
      </w:r>
    </w:p>
    <w:p>
      <w:r>
        <w:t>Bundesgericht</w:t>
      </w:r>
    </w:p>
    <w:p>
      <w:r>
        <w:t>Tribunal fédéral</w:t>
      </w:r>
    </w:p>
    <w:p>
      <w:r>
        <w:t>Tribunale federale</w:t>
      </w:r>
    </w:p>
    <w:p>
      <w:r>
        <w:t>Tribunal federal</w:t>
      </w:r>
    </w:p>
    <w:p>
      <w:r>
        <w:t>9C_297/2023</w:t>
      </w:r>
    </w:p>
    <w:p>
      <w:r>
        <w:t>Urteil vom 9. Juni 2023</w:t>
      </w:r>
    </w:p>
    <w:p>
      <w:r>
        <w:t>III. öffentlich-rechtliche Abteilung</w:t>
      </w:r>
    </w:p>
    <w:p>
      <w:r>
        <w:t>Besetzung</w:t>
      </w:r>
    </w:p>
    <w:p>
      <w:r>
        <w:t>Bundesrichter Parrino, Präsident,</w:t>
      </w:r>
    </w:p>
    <w:p>
      <w:r>
        <w:t>Gerichtsschreiberin Stanger.</w:t>
      </w:r>
    </w:p>
    <w:p>
      <w:r>
        <w:t>Verfahrensbeteiligte</w:t>
      </w:r>
    </w:p>
    <w:p>
      <w:r>
        <w:t>A.________ GmbH,</w:t>
      </w:r>
    </w:p>
    <w:p>
      <w:r>
        <w:t>Beschwerdeführerin,</w:t>
      </w:r>
    </w:p>
    <w:p>
      <w:r>
        <w:t>gegen</w:t>
      </w:r>
    </w:p>
    <w:p>
      <w:r>
        <w:t>ASGA Pensionskasse Genossenschaft, Rosenbergstrasse 16, 9000 St. Gallen,</w:t>
      </w:r>
    </w:p>
    <w:p>
      <w:r>
        <w:t>Beschwerdegegnerin.</w:t>
      </w:r>
    </w:p>
    <w:p>
      <w:r>
        <w:t>Gegenstand</w:t>
      </w:r>
    </w:p>
    <w:p>
      <w:r>
        <w:t>Berufliche Vorsorge,</w:t>
      </w:r>
    </w:p>
    <w:p>
      <w:r>
        <w:t>Beschwerde gegen den Entscheid des Versicherungsgerichts des Kantons St. Gallen vom 15. März 2023 (BV 2022/18).</w:t>
      </w:r>
    </w:p>
    <w:p>
      <w:r>
        <w:t>Nach Einsicht</w:t>
      </w:r>
    </w:p>
    <w:p>
      <w:r>
        <w:t>in die Beschwerde vom 2. Mai 2023 (Poststempel) gegen den Entscheid des Versicherungsgerichts des Kantons St. Gallen vom 15. März 2023 und das gleichzeitig gestellte Gesuch um Erstreckung der Frist zur Begründung der Beschwerde,</w:t>
      </w:r>
    </w:p>
    <w:p>
      <w:r>
        <w:t>in die eingeschrieben versandte Verfügung des Bundesgerichts vom 4. Mai 2023, worin das Fristerstreckungsgesuch abgelehnt wurde mit der Begründung, gesetzliche Fristen seien nicht erstreckbar, und auf die gesetzlichen Formerfordernisse von Beschwerden hinsichtlich Begehren und Begründung sowie auf die nur innert der Rechtsmittelfrist noch bestehende Verbesserungsmöglichkeit hingewiesen wurde,</w:t>
      </w:r>
    </w:p>
    <w:p>
      <w:r>
        <w:t>in Erwägung,</w:t>
      </w:r>
    </w:p>
    <w:p>
      <w:r>
        <w:t>dass die Verfügung vom 4. Mai 2023, auch wenn sie nicht abgeholt wurde, spätestens am siebten Tag nach dem ersten erfolglosen Zustellungsversuch als zugestellt gilt ( Art. 44 Abs. 2 BGG ; BGE 134 V 49 E. 4),</w:t>
      </w:r>
    </w:p>
    <w:p>
      <w:r>
        <w:t>dass ein Rechtsmittel gemäss Art. 42 Abs. 1 und 2 BGG unter anderem die Begehren und deren Begründung zu enthalten hat, wobei in der Begründung in gedrängter Form darzulegen ist, inwiefern der angefochtene Akt Recht verletzt,</w:t>
      </w:r>
    </w:p>
    <w:p>
      <w:r>
        <w:t>dass die Eingabe vom 2. Mai 2023 diesen inhaltlichen Mindestanforderungen offensichtlich nicht genügt, da den Ausführungen nichts entnommen werden kann, was darauf hindeutete, dass und inwiefern die vorinstanzliche Sachverhaltsfeststellung im Sinne von Art. 97 Abs. 1 BGG unzutreffend und die darauf beruhenden Erwägungen rechtsfehlerhaft (vgl. Art. 95 BGG ) sein sollten,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9. Juni 2023</w:t>
      </w:r>
    </w:p>
    <w:p>
      <w:r>
        <w:t>Im Namen der III. öffentlich-rechtlichen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