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9C_296/2019 vom 23. Mai 2019</w:t>
      </w:r>
    </w:p>
    <w:p>
      <w:r>
        <w:t>Bundesgericht, 2019-05-23, DE</w:t>
      </w:r>
    </w:p>
    <w:p>
      <w:r>
        <w:rPr>
          <w:b/>
        </w:rPr>
        <w:t xml:space="preserve">Quelle: </w:t>
      </w:r>
      <w:r>
        <w:t>https://mcp.opencaselaw.ch/entscheid/bger_9C_296_2019</w:t>
      </w:r>
    </w:p>
    <w:p>
      <w:r>
        <w:t>FR: TF 9C_296/2019 du 23 mai 2019</w:t>
      </w:r>
    </w:p>
    <w:p>
      <w:r>
        <w:t>IT: TF 9C_296/2019 del 23 maggio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9C_296/2019</w:t>
      </w:r>
    </w:p>
    <w:p>
      <w:r>
        <w:t>Urteil vom 23. Mai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Sozialversicherungsgerichts des Kantons Zürich</w:t>
      </w:r>
    </w:p>
    <w:p>
      <w:r>
        <w:t>vom 12. März 2019 (AK.2017.00017).</w:t>
      </w:r>
    </w:p>
    <w:p>
      <w:r>
        <w:t>Nach Einsicht</w:t>
      </w:r>
    </w:p>
    <w:p>
      <w:r>
        <w:t>in die Beschwerde vom 6. Mai 2019 (Poststempel) gegen den Entscheid des Sozialversicherungsgerichts des Kantons Zürich vom 12. März 2019, mit welchem der von A.________ für entgangene Sozialversicherungsbeiträge geschuldete Schadenersatz auf Fr. 10'275.25 reduziert wurde,</w:t>
      </w:r>
    </w:p>
    <w:p>
      <w:r>
        <w:t>in Erwägung,</w:t>
      </w:r>
    </w:p>
    <w:p>
      <w:r>
        <w:t>dass nach der Rechtsprechung die Beschwerde in öffentlich-rechtlichen Angelegenheiten ( Art. 82 ff. BGG ) gegen einen Entscheid über die Arbeitgeberhaftung gemäss Art. 52 Abs. 1 AHVG nur zulässig ist, wenn die Streitwertgrenze von Fr. 30'000.- ( Art. 85 Abs. 1 lit. a BGG ) erreicht ist oder wenn sich eine Rechtsfrage von grundsätzlicher Bedeutung stellt ( BGE 137 V 51 ),</w:t>
      </w:r>
    </w:p>
    <w:p>
      <w:r>
        <w:t>dass diese Grenze mit dem im kantonalen Verfahren streitig gebliebenen Betrag von Fr. 10'275.25 nicht erreicht wird (vgl. Art. 85 Abs. 1 lit. a in Verbindung mit Art. 51 Abs. 1 lit. a BGG ),</w:t>
      </w:r>
    </w:p>
    <w:p>
      <w:r>
        <w:t>dass des Weitern weder ersichtlich noch rechtsgenüglich dargetan ist (vgl. Art. 42 Abs. 2 BGG ), inwiefern sich eine Rechtsfrage von grundsätzlicher Bedeutung stellen sollte,</w:t>
      </w:r>
    </w:p>
    <w:p>
      <w:r>
        <w:t>dass auf die Beschwerde in öffentlich-rechtlichen Angelegenheiten demnach nicht einzutreten ist,</w:t>
      </w:r>
    </w:p>
    <w:p>
      <w:r>
        <w:t>dass damit einzig die subsidiäre Verfassungsbeschwerde ( Art. 113 ff. BGG ) in Frage kommt, für welche indessen eine qualifizierte Rügepflicht gilt (Art. 117 in Verbindung mit Art. 106 Abs. 2 BGG ), indem in detaillierter und substanziierter Form aufzuzeigen ist, inwiefern verfassungsmässige Rechte durch den kantonalen Entscheid verletzt sein sollen,</w:t>
      </w:r>
    </w:p>
    <w:p>
      <w:r>
        <w:t>dass A.________ in ihrer Eingabe vom 6. Mai 2019 keine Verletzung verfassungsmässiger Rechte geltend macht, weshalb das Rechtsmittel auch nicht als Verfassungsbeschwerde entgegengenommen werden kann,</w:t>
      </w:r>
    </w:p>
    <w:p>
      <w:r>
        <w:t>dass deshalb im vereinfachten Verfahren nach Art. 108 Abs. 1 lit. a und b BGG (in Verbindung mit Art. 117 BGG ) auf die Beschwerde nicht einzutreten ist und in Anwendung von Art. 66 Abs. 1 Satz 2 BGG auf die Erhebung von Gerichtskosten umständehalber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23. Mai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