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295/2012 vom 6. August 2012</w:t>
      </w:r>
    </w:p>
    <w:p>
      <w:r>
        <w:t>Bundesgericht, 2012-08-06, DE</w:t>
      </w:r>
    </w:p>
    <w:p>
      <w:r>
        <w:rPr>
          <w:b/>
        </w:rPr>
        <w:t xml:space="preserve">Quelle: </w:t>
      </w:r>
      <w:r>
        <w:t>https://mcp.opencaselaw.ch/entscheid/bger_9C_295_2012</w:t>
      </w:r>
    </w:p>
    <w:p>
      <w:r>
        <w:t>FR: TF 9C 295/2012 du 6 août 2012</w:t>
      </w:r>
    </w:p>
    <w:p>
      <w:r>
        <w:t>IT: TF 9C 295/2012 del 6 agosto 2012</w:t>
      </w:r>
    </w:p>
    <w:p>
      <w:pPr>
        <w:pStyle w:val="Heading2"/>
      </w:pPr>
      <w:r>
        <w:t>Regeste</w:t>
      </w:r>
    </w:p>
    <w:p>
      <w:r>
        <w:t>Alters- und Hinterlassenenversicherung | Alters- und Hinterlassenenversicherung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2.1.1</w:t>
      </w:r>
    </w:p>
    <w:p>
      <w:r>
        <w:t>Erlässt eine Ausgleichskasse im Gebiet der paritätischen Beiträge eine Verfügung, so stellt sie eine Beitragsschuld sowohl des Arbeitgebers wie des Arbeitnehmers fest (Art. 4 und 5 sowie Art. 12 und 13 AHVG ). Arbeitgeber und Arbeitnehmer sind in gleicher Weise betroffen, weshalb die Verfügung im Hinblick auf die Wahrung des rechtlichen Gehörs grundsätzlich beiden zu eröffnen ist. Ausnahmen von diesem Grundsatz sind nach der Rechtsprechung indessen dort zugelassen, wo der Ausgleichskasse aus praktischen Gründen die Zustellung von Verfügungen an die Arbeitnehmenden nicht zugemutet werden kann. Dies trifft beispielsweise zu, wenn es sich um eine grosse Zahl von Arbeitnehmenden handelt, wenn sich der Wohnsitz der Beschäftigten im Ausland befindet oder wenn es sich lediglich um geringfügige Beiträge handelt ( BGE 113 V 1 E. 2 S. 3 mit Hinweisen). Diese Grundsätze gelten nicht nur, wenn das Beitragsstatut oder die Natur einzelner Zahlungen streitig ist, sondern auch bei nachträglichen Lohnerfassungen, wenn umstritten ist, ob bestimmte Vergütungen zum massgebenden Lohn im Sinne von Art. 5 Abs. 2 AHVG gehören ( BGE 113 V 1 E. 3a S. 4).</w:t>
      </w:r>
    </w:p>
    <w:p>
      <w:r>
        <w:rPr>
          <w:b/>
        </w:rPr>
        <w:t>E. 2.1.2</w:t>
      </w:r>
    </w:p>
    <w:p>
      <w:r>
        <w:t>Ist eine Beitragsverfügung nur dem Arbeitgeber eröffnet worden und hat dieser Beschwerde erhoben, so hat das erstinstanzliche Gericht - ausser in den genannten Ausnahmefällen - entweder den Arbeitnehmenden beizuladen oder die Sache an die Verwaltung zurückzuweisen, damit diese durch Zustellung der Beitragsverfügung an den oder die betroffenen Arbeitnehmenden deren Verfahrensrechte wahrt ( BGE 113 V 1 Erw. 4a S. 5).</w:t>
      </w:r>
    </w:p>
    <w:p>
      <w:r>
        <w:rPr>
          <w:b/>
        </w:rPr>
        <w:t>E. 2.2</w:t>
      </w:r>
    </w:p>
    <w:p>
      <w:r>
        <w:t>Das beschwerdeführende BSV geht davon aus, der kantonale Gerichtsentscheid sei eine Feststellungsverfügung über das Beitragsstatut der mit der als beitragspflichtig erklärten Firma vertraglich verbundenen Maklerinnen und Makler, welche vom Erkenntnis ebenfalls betroffen seien. Es ist der Auffassung, die Vorinstanz hätte die vertraglich verbundenen Maklerinnen und Makler zum Verfahren beiladen und ihnen den kantonalen Gerichtsentscheid eröffnen müssen. Das Urteil der Vorinstanz sei deshalb aufzuheben und an diese zurückzuweisen, damit sie den mit der Firma vertraglich verbundenen Maklerinnen und Makler Gelegenheit gebe, sich am Verfahren zu beteiligen, und hernach die Sache neu zu beurteilen.</w:t>
      </w:r>
    </w:p>
    <w:p>
      <w:r>
        <w:rPr>
          <w:b/>
        </w:rPr>
        <w:t>E. 2.3</w:t>
      </w:r>
    </w:p>
    <w:p>
      <w:r>
        <w:t>Die Beschwerdegegnerin stellt sich auf den Standpunkt, das BSV nenne weder ausdrücklich noch sinngemäss, welche Bestimmung das kantonale Gericht mit der unterlassenen Beiladung verletzt haben soll. Zwar wende das Bundesgericht das Recht grundsätzlich von Amtes wegen an (Hinweis auf Art. 106 Abs. 1 BGG ). Die Verletzung von Grundrechten und von kantonalem Recht prüfe das Bundesgericht jedoch nur insofern, als eine solche Rüge in der Beschwerde vorgebracht und begründet worden ist ( Art. 106 Abs. 2 BGG ). Die Frage der Beiladung und Eröffnung richte sich in erster Linie nach dem kantonalen Verfahrensrecht ( Art. 61 ATSG in Verbindung mit Art. 14 des Gesetzes über die Verwaltungsrechtspflege des Kantons Bern). Im Zusammenhang mit der Frage, ob mit der angeblich unterbliebenen Beiladung der Makler, deren verfassungsrechtlicher Anspruch auf rechtliches Gehör verletzt worden sei, erwähne das BSV den Anspruch auf rechtliches Gehör in der Beschwerde mit keinem Wort. Es zeige nicht im Entferntesten auf, in wiefern die angeblich unterbliebene Beiladung verfassungswidrig wäre, ja es erwähne die Verfassung oder deren Verletzung nicht mit einem einzigen Wort. Im Übrigen seien die betroffenen Makler sowohl über das Einspracheverfahren wie auch über das Beschwerdeverfahren in Kenntnis gewesen. Falls sie an einer Teilnahme am Verfahren interessiert gewesen seien, hätten sie folglich ohne Weiteres selbst ein Beiladungsbegehren stellen können.</w:t>
      </w:r>
    </w:p>
    <w:p>
      <w:r>
        <w:rPr>
          <w:b/>
        </w:rPr>
        <w:t>E. 2.4</w:t>
      </w:r>
    </w:p>
    <w:p>
      <w:r>
        <w:t>Bei der Verfügungseröffnung an Arbeitgeber und -nehmer handelt es sich, entgegen der Auffassung der Beschwerdegegnerin, um einen in Art. 49 ATSG enthaltenen bundesgesetzlichen Anspruch, wonach die Verfügung der betroffenen Person zu eröffnen ist (vgl. auch Art. 14 Abs. 3 AHVG ). Er unterliegt daher im bundesgerichtlichen Verfahren nicht einer qualifizierten Rügepflicht. Die Begründung in der Beschwerde ist daher rechtsgenüglich. Aus den Akten ergibt sich ferner, dass die Ausgleichskasse den Einspracheentscheid und die Feststellungsverfügung den betroffenen Maklerinnen und Maklern nicht direkt eröffnet hat, sondern die als Arbeitgeberin ins Recht gefasste Firma beauftragt hat, die beiden Entscheide den Betroffenen weiter zu leiten. Bereits diese Eröffnung war fehlerhaft ( BGE 133 I 201 E. 2.1 S. 204). Das kantonale Gericht hat die betroffenen Maklerinnen und Makler ebenfalls nicht ins Verfahren einbezogen. Zu Recht rügt daher das BSV eine Verletzung von Bundesrecht. Die Sache geht daher an das kantonale Gericht zurück, damit sie die betroffenen Maklerinnen und Makler zum Beschwerdeverfahren beilade.</w:t>
      </w:r>
    </w:p>
    <w:p>
      <w:r>
        <w:rPr>
          <w:b/>
        </w:rPr>
        <w:t>E. 3</w:t>
      </w:r>
    </w:p>
    <w:p>
      <w:r>
        <w:t>Das Verfahren ist kostenpflichtig. Entsprechend dem Ausgang des Verfahrens hat die Beschwerdegegnerin, die als beitragspflichtige Arbeitgeberin bei der vorliegenden Verfahrenskonstellation, bei welcher das BSV als Aufsichtsbehörde anstelle der Ausgleichskasse Beschwerde führt, als Gegenpartei die Gerichtskosten zu tragen ( Art. 66 Abs. 1 BGG ; vgl. auch Urteil H 226/98 vom 30. November 1999). Da das kantonale Gericht die Arbeitnehmenden für das kantonale Verfahren hätte beiladen müssen, kann entgegen der Auffassung der Beschwerdegegnerin nicht gesagt werden, die Ausgleichskasse habe die Kosten für das bundesgerichtliche Verfahren unnötig verursacht ( Art. 66 Abs. 3, Art. 68 Abs. 4 BGG ). Dem kantonalen Gericht könnten die Verfahrenskosten nur bei einer Verletzung der Pflicht zur Justizgewährleistung auferlegt werden ( BGE 129 V 335 E. 4 S. 342; SZS 2009 S. 397, 9C_867/2008 E. 8), wovon hier nicht 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