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9C_292/2021 vom 31. Mai 2021</w:t>
      </w:r>
    </w:p>
    <w:p>
      <w:r>
        <w:t>Bundesgericht, 2021-05-31, DE</w:t>
      </w:r>
    </w:p>
    <w:p>
      <w:r>
        <w:rPr>
          <w:b/>
        </w:rPr>
        <w:t xml:space="preserve">Quelle: </w:t>
      </w:r>
      <w:r>
        <w:t>https://mcp.opencaselaw.ch/entscheid/bger_9C_292_2021</w:t>
      </w:r>
    </w:p>
    <w:p>
      <w:r>
        <w:t>FR: TF 9C_292/2021 du 31 mai 2021</w:t>
      </w:r>
    </w:p>
    <w:p>
      <w:r>
        <w:t>IT: TF 9C_292/2021 del 31 maggio 2021</w:t>
      </w:r>
    </w:p>
    <w:p>
      <w:pPr>
        <w:pStyle w:val="Heading2"/>
      </w:pPr>
      <w:r>
        <w:t>Volltext</w:t>
      </w:r>
    </w:p>
    <w:p>
      <w:r>
        <w:t>Bundesgericht</w:t>
      </w:r>
    </w:p>
    <w:p>
      <w:r>
        <w:t>Tribunal fédéral</w:t>
      </w:r>
    </w:p>
    <w:p>
      <w:r>
        <w:t>Tribunale federale</w:t>
      </w:r>
    </w:p>
    <w:p>
      <w:r>
        <w:t>Tribunal federal</w:t>
      </w:r>
    </w:p>
    <w:p>
      <w:r>
        <w:t>9C_292/2021</w:t>
      </w:r>
    </w:p>
    <w:p>
      <w:r>
        <w:t>Urteil vom 31. Mai 2021</w:t>
      </w:r>
    </w:p>
    <w:p>
      <w:r>
        <w:t>II. sozialrechtliche Abteilung</w:t>
      </w:r>
    </w:p>
    <w:p>
      <w:r>
        <w:t>Besetzung</w:t>
      </w:r>
    </w:p>
    <w:p>
      <w:r>
        <w:t>Bundesrichter Parrino, Präsident,</w:t>
      </w:r>
    </w:p>
    <w:p>
      <w:r>
        <w:t>Gerichtsschreiberin Oswald.</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das Urteil des Sozialversicherungsgerichts des Kantons Zürich</w:t>
      </w:r>
    </w:p>
    <w:p>
      <w:r>
        <w:t>vom 12. März 2021 (IV.2020.00542).</w:t>
      </w:r>
    </w:p>
    <w:p>
      <w:r>
        <w:t>Nach Einsicht</w:t>
      </w:r>
    </w:p>
    <w:p>
      <w:r>
        <w:t>in die Beschwerde vom 20. April 2021 (Poststempel),</w:t>
      </w:r>
    </w:p>
    <w:p>
      <w:r>
        <w:t>in die Mitteilung des Bundesgerichts vom 21. April 2021 an A.________, worin diese aufgefordert wurde, das angefochtene Urteil bis spätestens am 21. Mai 2021 beizubringen und worin sie darauf aufmerksam gemacht wurde, dass ihre Beschwerde den gesetzlichen Formerfordernissen hinsichtlich Begehren und Begründung nicht zu genügen scheine, was nur innert der Rechtsmittelfrist verbessert werden könne,</w:t>
      </w:r>
    </w:p>
    <w:p>
      <w:r>
        <w:t>in die daraufhin von A.________ am 18. Mai 2021 eingereichte Eingabe und das nachgereichte Urteil des Sozialversicherungsgerichts des Kantons Zürich vom 12. März 2021,</w:t>
      </w:r>
    </w:p>
    <w:p>
      <w:r>
        <w:t>in Erwägung,</w:t>
      </w:r>
    </w:p>
    <w:p>
      <w:r>
        <w:t>dass das kantonale Gericht die leistungsabweisende Verfügung der IV-Stelle des Kantons Zürich vom 22. Juni 2020 insbesondere nach einlässlicher Würdigung der medizinischen Akten geschützt hat,</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der Beschwerdeführerin diesen inhaltlichen Mindestanforderungen nicht genügen, da sie keinen rechtsgenüglichen Antrag enthalten und den Ausführungen nicht entnommen werden kann, inwiefern die Sachverhaltsfeststellungen des kantonalen Gerichts im Sinne von Art. 97 Abs. 1 BGG - soweit überhaupt beanstandet - unzutreffend und die darauf beruhenden Erwägungen rechtsfehlerhaft sein sollen,</w:t>
      </w:r>
    </w:p>
    <w:p>
      <w:r>
        <w:t>dass die Beschwerdeergänzung vom 18. Mai 2021 zudem nach Art. 100 Abs. 1 BGG verspätet ist (Fristablauf am 12. Mai 2021), weshalb sie zum Vornherein ausser Acht zu bleiben hat,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Mai 2021</w:t>
      </w:r>
    </w:p>
    <w:p>
      <w:r>
        <w:t>Im Namen der II. sozialrechtlichen Abteilung</w:t>
      </w:r>
    </w:p>
    <w:p>
      <w:r>
        <w:t>des Schweizerischen Bundesgerichts</w:t>
      </w:r>
    </w:p>
    <w:p>
      <w:r>
        <w:t>Der Präsident: Parrino</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