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292/2012 vom 7. August 2012</w:t>
      </w:r>
    </w:p>
    <w:p>
      <w:r>
        <w:t>Bundesgericht, 2012-08-07, DE</w:t>
      </w:r>
    </w:p>
    <w:p>
      <w:r>
        <w:rPr>
          <w:b/>
        </w:rPr>
        <w:t xml:space="preserve">Quelle: </w:t>
      </w:r>
      <w:r>
        <w:t>https://mcp.opencaselaw.ch/entscheid/bger_9C_292_2012</w:t>
      </w:r>
    </w:p>
    <w:p>
      <w:r>
        <w:t>FR: TF 9C 292/2012 du 7 août 2012</w:t>
      </w:r>
    </w:p>
    <w:p>
      <w:r>
        <w:t>IT: TF 9C 292/2012 del 7 agosto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vgl. auch BGE 134 IV 36 E. 1.4.1).</w:t>
      </w:r>
    </w:p>
    <w:p>
      <w:r>
        <w:rPr>
          <w:b/>
        </w:rPr>
        <w:t>E. 1.3</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136 I 65 E. 1.3.1; 133 III 462 E. 2.4).</w:t>
      </w:r>
    </w:p>
    <w:p>
      <w:r>
        <w:rPr>
          <w:b/>
        </w:rPr>
        <w:t>E. 1.4</w:t>
      </w:r>
    </w:p>
    <w:p>
      <w:r>
        <w:t>Dem Sachgericht steht im Bereich der Beweiswürdigung ein erheblicher Ermessensspielraum zu ( BGE 120 Ia 31 E. 4b). Das Bundesgericht greift auf Beschwerde hin nur ein, wenn das Sachgericht diesen missbraucht, insbesondere offensichtlich unhaltbare Schlüsse zieht, erhebliche Beweise übersieht oder solche willkürlich ausser Acht lässt ( BGE 132 III 209 E. 2.1; zum Begriff der Willkür BGE 137 I 1 E. 2.4 mit Hinweisen). Inwiefern das kantonale Gericht sein Ermessen missbraucht haben soll, ist in der Beschwerde klar und detailliert aufzuzeigen ( BGE 130 I 258 E. 1.3). Auf ungenügend begründete Rügen und bloss allgemein gehaltene appellatorische Kritik am angefochtenen Entscheid tritt das Bundesgericht nicht ein ( BGE 134 II 244 E. 2.2 mit Hinweis).</w:t>
      </w:r>
    </w:p>
    <w:p>
      <w:r>
        <w:rPr>
          <w:b/>
        </w:rPr>
        <w:t>E. 2.1</w:t>
      </w:r>
    </w:p>
    <w:p>
      <w:r>
        <w:t>Das kantonale Gericht erwog im Zusammenhang mit der Aufteilung der Erwerbs- und Haushalttätigkeit bei der Anwendung der gemischten Methode, dass bei der Beurteilung des Umfangs der Erwerbstätigkeit im Gesundheitsfall nicht nur die finanzielle Notwendigkeit, eine Erwerbstätigkeit wieder aufzunehmen oder auszudehnen, eine Rolle spiele, sondern dass auch Erziehungs- und Betreuungsaufgaben gegenüber Kindern, das Alter, die beruflichen Fähigkeiten, die Ausbildung sowie die persönlichen Neigungen und Begabungen zu berücksichtigen seien. Angesichts der - gegenüber der letzten Haushaltsabklärung vom 28. November 2006 - veränderten Verhältnisse (Geburt des zweiten Kindes am ... 2007) erscheine es überwiegend wahrscheinlich, dass die Versicherte angesichts des erhöhten Erziehungs- und Betreuungsaufwands für zwei kleine Kinder nicht mehr wie zuletzt im Ausmass von 60 %, sondern nur noch mit einem Pensum von 40 % ausserhäuslich erwerbstätig gewesen wäre. Auf ihre Aussage anlässlich der Abklärung im Haushalt vom 16. September 2010, wonach sie auch im Gesundheitsfall nicht arbeiten würde, da sie "voll und ganz für die Betreuung und Erziehung der Kinder zuständig sein wolle", könne - in Übereinstimmung mit der Auffassung der Abklärungsperson - nicht abgestellt werden, erscheine es doch vielmehr als wahrscheinlich, dass sie angesichts der finanziell angespannten Situation (Arbeitslosigkeit des Ehegatten) auch mit zwei zu betreuenden Kleinkindern eine Teilzeiterwerbstätigkeit annehmen würde. Dass sie im Gesundheitsfall einer ausserhäuslichen Erwerbstätigkeit von 100 % nachgehen würde, wie das nun beschwerdeweise vorgebracht werde, sei demgegenüber als unwahrscheinlich anzusehen. Daran vermöge auch die entsprechende Bestätigung der Lungenliga Y.________ im Schreiben vom 17. Dezember 2010 nichts daran zu ändern, werde darin eine vollzeitliche Erwerbstätigkeit doch nur mit der finanziell angespannten Situation der Familie begründet. Die darin ebenfalls geschilderten Umstände legten im Übrigen nahe, dass die Versicherte ihre Kinder für eine ordentliche Erziehung künftig eher mehr betreuen müsste, was auch ohne Behinderung der Fall wäre. Die Abklärungsperson halte denn auch in ihrer Stellungnahme vom 5. Januar 2011 vollumfänglich an ihrer nach dem Beweisgrad der überwiegenden Wahrscheinlichkeit gewählten Methode zur Berechnung des Invaliditätsgrads mit einer Aufteilung von 40 % Erwerbstätigkeit und 60 % Haushalt fest. Diese Hypothese erscheine im Übrigen auch deshalb als sachgerecht, weil die Versicherte nach Zustellung des Abklärungsberichts vom 19. Oktober 2010 - trotz entsprechender Aufforderung durch die Beschwerdegegnerin - keine Ergänzungen oder Bemerkungen zur von der Abklärungsperson vorgenommenen Aufteilung vorgenommen habe, sondern erst im Vorbescheid - und nun im vorliegenden Beschwerdeverfahren - geltend mache, ohne Behinderung einer vollzeitlichen Erwerbstätigkeit nachzugehen. Darauf könne nicht abgestellt werden.</w:t>
      </w:r>
    </w:p>
    <w:p>
      <w:r>
        <w:rPr>
          <w:b/>
        </w:rPr>
        <w:t>E. 2.2</w:t>
      </w:r>
    </w:p>
    <w:p>
      <w:r>
        <w:t>Diese Sachverhaltsfeststellung und die entsprechende Beweiswürdigung des kantonalen Gerichts, mit welchem dieses den Anteil der Haushalttätigkeit mit 60 % und denjenigen der Erwerbstätigkeit mit 40 % festgelegt hat, ist nicht mangelhaft im Sinne von Art. 97 Abs. 1 BGG . Namentlich hat die Vorinstanz eingehend begründet, aus welchen Gründen sie die Aufteilung der Haushalt- und Erwerbstätigkeit durch die Abklärungsperson für schlüssig hält. Die entsprechenden Feststellungen und Schlussfolgerungen sind nach der Aktenlage nicht offensichtlich unrichtig, noch ist darin eine unvollständige Sachverhaltsfeststellung oder eine willkürliche Beweiswürdigung zu erblicken. Namentlich hat das kantonale Gericht den Anspruch der Beschwerdeführerin auf rechtliches Gehör ( Art. 42 ATSG ) nicht verletzt. Vielmehr hat es die Nichtreaktion auf den Abklärungsbericht vom 19. Oktober 2010 und die Einwände im Vorbescheid- und Beschwerdeverfahren im Gesamtzusammenhang gewürdigt. Der daraus gezogene Schluss, die Beschwerdeführerin würde nach der Geburt des zweiten Kindes nur noch 40 % erwerbstätig sein, ist nicht offensichtlich unhaltbar.</w:t>
      </w:r>
    </w:p>
    <w:p>
      <w:r>
        <w:rPr>
          <w:b/>
        </w:rPr>
        <w:t>E. 2.3</w:t>
      </w:r>
    </w:p>
    <w:p>
      <w:r>
        <w:t>Das kantonale Gericht hat sich eingehend und detailliert mit den beiden Haushaltberichten vom 28. November 2006 und 19. Oktober 2010 auseinandergesetzt und ist zum Schluss gelangt, dass sich die Auswirkungen in Bezug auf die Betätigung im üblichen Aufgabenbereich trotz gleich gebliebenem Gesundheitszustand und Geburt des zweiten Kindes wegen Angewöhnung oder Anpassung an die gesundheitliche Behinderung verbessert hätten. Die Beschwerdeführerin legt nicht in rechtsgenüglicher Weise dar (vgl. E. 1.3 und 1.4 hievor), inwiefern diese vorinstanzliche Beweiswürdigung willkürlich oder sonst wie Bundesrecht verletzen sollte. Auch mit den vorinstanzlichen Ausführungen zu den einzelnen Aufgabenbereichen im Haushalt setzt sie sich nicht in rechtsgenüglicher Weise auseinander. Vielmehr belässt sie es mit pauschaler Kritik und dem Hinweis, die Beurteilung der zuständigen Abklärungsperson stehe im Widerspruch zur eindeutigen Einschätzung des Dr. med. A.________ vom 7. Juli 2010. Die Ausführungen in der Beschwerde sind daher nicht geeignet, die vorinstanzliche Betrachtungsweise als bundesrechtswidrig zu taxieren.</w:t>
      </w:r>
    </w:p>
    <w:p>
      <w:r>
        <w:rPr>
          <w:b/>
        </w:rPr>
        <w:t>E. 3</w:t>
      </w:r>
    </w:p>
    <w:p>
      <w:r>
        <w:t>Dem Ausgang des Verfahrens entsprechend hat die Beschwerdeführerin die Gerichtskosten zu tragen ( Art. 66 Abs. 1 BGG ). Sie sind vorläufig auf die Gerichtskasse zu nehmen, da die Voraussetzungen für die Gewährung der beantragten unentgeltlichen Rechtspflege (fehlende Aussichtslosigkeit des Rechtsmittels, Bedürftigkeit des Gesuchstellers, Notwendigkeit der anwaltlichen Vertretung [ Art. 64 Abs. 1 und 2 BGG ; vgl. BGE 125 V 201 E. 4a S. 202 und 371 E. 5b S. 372]) erfüllt sind. Ferner wird ihrem Rechtsvertreter eine Entschädigung aus der Gerichtskasse ausgerichtet ( Art. 64 Abs. 2 BGG ). Die Beschwerdeführerin wird indessen auf Art. 64 Abs. 4 BGG aufmerksam gemacht, wonach sie als Begünstigte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